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85562" w14:textId="0611FC56" w:rsidR="005423DF" w:rsidRPr="00B04E62" w:rsidRDefault="00B04E62" w:rsidP="005423DF">
      <w:pPr>
        <w:pStyle w:val="Coverpagetitle"/>
        <w:rPr>
          <w:sz w:val="36"/>
          <w:szCs w:val="36"/>
        </w:rPr>
      </w:pPr>
      <w:r w:rsidRPr="00B04E62">
        <w:rPr>
          <w:sz w:val="36"/>
          <w:szCs w:val="36"/>
        </w:rPr>
        <w:t>Queensland Multicultural Policy &amp; Queensland Multicultural Action Plan 2024</w:t>
      </w:r>
      <w:r w:rsidR="00E01374">
        <w:rPr>
          <w:sz w:val="36"/>
          <w:szCs w:val="36"/>
        </w:rPr>
        <w:t>–</w:t>
      </w:r>
      <w:r w:rsidRPr="00B04E62">
        <w:rPr>
          <w:sz w:val="36"/>
          <w:szCs w:val="36"/>
        </w:rPr>
        <w:t>25 to 2026</w:t>
      </w:r>
      <w:r w:rsidR="00E01374">
        <w:rPr>
          <w:sz w:val="36"/>
          <w:szCs w:val="36"/>
        </w:rPr>
        <w:t>–</w:t>
      </w:r>
      <w:r w:rsidRPr="00B04E62">
        <w:rPr>
          <w:sz w:val="36"/>
          <w:szCs w:val="36"/>
        </w:rPr>
        <w:t>27</w:t>
      </w:r>
    </w:p>
    <w:p w14:paraId="1FA074A2" w14:textId="4DE8A9C4" w:rsidR="005423DF" w:rsidRDefault="00B04E62" w:rsidP="005423DF">
      <w:pPr>
        <w:pStyle w:val="Coverpagesecondarytitle"/>
      </w:pPr>
      <w:r>
        <w:t>2024</w:t>
      </w:r>
      <w:r w:rsidR="00E01374">
        <w:t>–</w:t>
      </w:r>
      <w:r>
        <w:t xml:space="preserve">25 Annual Reporting </w:t>
      </w:r>
    </w:p>
    <w:p w14:paraId="69A73122" w14:textId="77777777" w:rsidR="00B04E62" w:rsidRDefault="00B04E62" w:rsidP="005423DF">
      <w:pPr>
        <w:pStyle w:val="Coverpagesecondarytitle"/>
      </w:pPr>
    </w:p>
    <w:p w14:paraId="4E14CDBA" w14:textId="77777777" w:rsidR="00B04E62" w:rsidRDefault="00B04E62" w:rsidP="005423DF">
      <w:pPr>
        <w:pStyle w:val="Coverpagesecondarytitle"/>
      </w:pPr>
    </w:p>
    <w:p w14:paraId="0F253363" w14:textId="77777777" w:rsidR="005423DF" w:rsidRPr="00237A4E" w:rsidRDefault="00B04E62" w:rsidP="00AC10CE">
      <w:pPr>
        <w:pStyle w:val="Coverpagesecondarytitle"/>
        <w:sectPr w:rsidR="005423DF" w:rsidRPr="00237A4E" w:rsidSect="00B30353">
          <w:headerReference w:type="default" r:id="rId8"/>
          <w:headerReference w:type="first" r:id="rId9"/>
          <w:endnotePr>
            <w:numFmt w:val="decimal"/>
          </w:endnotePr>
          <w:pgSz w:w="11906" w:h="16838"/>
          <w:pgMar w:top="4972" w:right="1134" w:bottom="851" w:left="1134" w:header="709" w:footer="709" w:gutter="0"/>
          <w:cols w:space="708"/>
          <w:titlePg/>
          <w:docGrid w:linePitch="360"/>
        </w:sectPr>
      </w:pPr>
      <w:r>
        <w:t xml:space="preserve">Department of </w:t>
      </w:r>
      <w:r w:rsidR="00315D22">
        <w:t>the Premier and Cabinet</w:t>
      </w:r>
    </w:p>
    <w:p w14:paraId="475BFE45" w14:textId="70DE8C6E" w:rsidR="00B04E62" w:rsidRDefault="001B24A9" w:rsidP="00F621B1">
      <w:pPr>
        <w:pStyle w:val="Heading1"/>
        <w:numPr>
          <w:ilvl w:val="0"/>
          <w:numId w:val="0"/>
        </w:numPr>
      </w:pPr>
      <w:bookmarkStart w:id="0" w:name="_Toc352236364"/>
      <w:r>
        <w:lastRenderedPageBreak/>
        <w:t>Agency Commitments for 2024</w:t>
      </w:r>
      <w:r w:rsidR="00E01374">
        <w:t>–</w:t>
      </w:r>
      <w:r>
        <w:t>25</w:t>
      </w:r>
      <w:r w:rsidR="007F7F33">
        <w:t xml:space="preserve"> to 2026</w:t>
      </w:r>
      <w:r w:rsidR="00E01374">
        <w:t>–</w:t>
      </w:r>
      <w:r w:rsidR="007F7F33">
        <w:t>27</w:t>
      </w:r>
    </w:p>
    <w:p w14:paraId="2F366E37" w14:textId="3FC89C77" w:rsidR="00F621B1" w:rsidRPr="001F6460" w:rsidRDefault="001B24A9" w:rsidP="001F6460">
      <w:pPr>
        <w:rPr>
          <w:lang w:val="en-AU" w:eastAsia="en-US"/>
        </w:rPr>
      </w:pPr>
      <w:r>
        <w:rPr>
          <w:lang w:val="en-AU" w:eastAsia="en-US"/>
        </w:rPr>
        <w:t xml:space="preserve">Each agency has committed to progressing actions in one or more of the Action Plan’s four Focus Areas. </w:t>
      </w:r>
    </w:p>
    <w:p w14:paraId="562F02F4" w14:textId="77777777" w:rsidR="0039184E" w:rsidRPr="00F621B1" w:rsidRDefault="00475903" w:rsidP="00F621B1">
      <w:pPr>
        <w:pStyle w:val="TableFigure"/>
        <w:rPr>
          <w:sz w:val="18"/>
          <w:szCs w:val="18"/>
          <w:lang w:val="en-AU" w:eastAsia="en-US"/>
        </w:rPr>
      </w:pPr>
      <w:r w:rsidRPr="00F621B1">
        <w:rPr>
          <w:sz w:val="18"/>
          <w:szCs w:val="18"/>
          <w:lang w:val="en-AU" w:eastAsia="en-US"/>
        </w:rPr>
        <w:t>N.B. Agency acronyms in this table have been updated compared to those used in the Action Plan to reflect recent Machinery of Government changes.</w:t>
      </w:r>
    </w:p>
    <w:tbl>
      <w:tblPr>
        <w:tblStyle w:val="TableGrid"/>
        <w:tblW w:w="5742" w:type="pct"/>
        <w:tblInd w:w="-714" w:type="dxa"/>
        <w:tblCellMar>
          <w:top w:w="28" w:type="dxa"/>
          <w:bottom w:w="28" w:type="dxa"/>
        </w:tblCellMar>
        <w:tblLook w:val="04A0" w:firstRow="1" w:lastRow="0" w:firstColumn="1" w:lastColumn="0" w:noHBand="0" w:noVBand="1"/>
      </w:tblPr>
      <w:tblGrid>
        <w:gridCol w:w="4821"/>
        <w:gridCol w:w="1559"/>
        <w:gridCol w:w="1559"/>
        <w:gridCol w:w="1559"/>
        <w:gridCol w:w="1559"/>
      </w:tblGrid>
      <w:tr w:rsidR="0039184E" w:rsidRPr="003F6630" w14:paraId="20FF2B6F" w14:textId="77777777" w:rsidTr="007221A9">
        <w:trPr>
          <w:trHeight w:hRule="exact" w:val="285"/>
          <w:tblHeader/>
        </w:trPr>
        <w:tc>
          <w:tcPr>
            <w:tcW w:w="2180" w:type="pct"/>
            <w:tcBorders>
              <w:bottom w:val="single" w:sz="4" w:space="0" w:color="auto"/>
            </w:tcBorders>
            <w:shd w:val="clear" w:color="auto" w:fill="D9D9D9" w:themeFill="background1" w:themeFillShade="D9"/>
            <w:vAlign w:val="center"/>
          </w:tcPr>
          <w:p w14:paraId="649135B6" w14:textId="77777777" w:rsidR="001F2233" w:rsidRPr="003F6630" w:rsidRDefault="001F2233" w:rsidP="006C5501">
            <w:pPr>
              <w:jc w:val="center"/>
              <w:rPr>
                <w:rFonts w:ascii="Arial" w:hAnsi="Arial"/>
                <w:b/>
                <w:bCs/>
                <w:sz w:val="20"/>
                <w:szCs w:val="20"/>
              </w:rPr>
            </w:pPr>
            <w:r w:rsidRPr="003F6630">
              <w:rPr>
                <w:rFonts w:ascii="Arial" w:hAnsi="Arial"/>
                <w:b/>
                <w:bCs/>
                <w:sz w:val="20"/>
                <w:szCs w:val="20"/>
              </w:rPr>
              <w:t>Agency</w:t>
            </w:r>
          </w:p>
        </w:tc>
        <w:tc>
          <w:tcPr>
            <w:tcW w:w="705" w:type="pct"/>
            <w:tcBorders>
              <w:bottom w:val="single" w:sz="4" w:space="0" w:color="auto"/>
            </w:tcBorders>
            <w:shd w:val="clear" w:color="auto" w:fill="D9D9D9" w:themeFill="background1" w:themeFillShade="D9"/>
            <w:vAlign w:val="center"/>
          </w:tcPr>
          <w:p w14:paraId="31C6769D" w14:textId="77777777" w:rsidR="001F2233" w:rsidRPr="003F6630" w:rsidRDefault="001F2233" w:rsidP="006C5501">
            <w:pPr>
              <w:jc w:val="center"/>
              <w:rPr>
                <w:rFonts w:ascii="Arial" w:hAnsi="Arial"/>
                <w:b/>
                <w:bCs/>
                <w:color w:val="379EA5"/>
                <w:sz w:val="20"/>
                <w:szCs w:val="20"/>
              </w:rPr>
            </w:pPr>
            <w:r w:rsidRPr="003F6630">
              <w:rPr>
                <w:rFonts w:ascii="Arial" w:hAnsi="Arial"/>
                <w:b/>
                <w:bCs/>
                <w:color w:val="379EA5"/>
                <w:sz w:val="20"/>
                <w:szCs w:val="20"/>
              </w:rPr>
              <w:t>Focus Area 1</w:t>
            </w:r>
            <w:r w:rsidR="00453BEB" w:rsidRPr="003F6630">
              <w:rPr>
                <w:rFonts w:ascii="Arial" w:hAnsi="Arial"/>
                <w:b/>
                <w:bCs/>
                <w:color w:val="379EA5"/>
                <w:sz w:val="20"/>
                <w:szCs w:val="20"/>
              </w:rPr>
              <w:t xml:space="preserve"> D- D - De</w:t>
            </w:r>
          </w:p>
        </w:tc>
        <w:tc>
          <w:tcPr>
            <w:tcW w:w="705" w:type="pct"/>
            <w:tcBorders>
              <w:bottom w:val="single" w:sz="4" w:space="0" w:color="auto"/>
            </w:tcBorders>
            <w:shd w:val="clear" w:color="auto" w:fill="D9D9D9" w:themeFill="background1" w:themeFillShade="D9"/>
            <w:vAlign w:val="center"/>
          </w:tcPr>
          <w:p w14:paraId="25C1234D" w14:textId="77777777" w:rsidR="001F2233" w:rsidRPr="003F6630" w:rsidRDefault="001F2233" w:rsidP="006C5501">
            <w:pPr>
              <w:jc w:val="center"/>
              <w:rPr>
                <w:rFonts w:ascii="Arial" w:hAnsi="Arial"/>
                <w:b/>
                <w:bCs/>
                <w:color w:val="C1363A"/>
                <w:sz w:val="20"/>
                <w:szCs w:val="20"/>
              </w:rPr>
            </w:pPr>
            <w:r w:rsidRPr="003F6630">
              <w:rPr>
                <w:rFonts w:ascii="Arial" w:hAnsi="Arial"/>
                <w:b/>
                <w:bCs/>
                <w:color w:val="C1363A"/>
                <w:sz w:val="20"/>
                <w:szCs w:val="20"/>
              </w:rPr>
              <w:t>Focus Area 2</w:t>
            </w:r>
          </w:p>
        </w:tc>
        <w:tc>
          <w:tcPr>
            <w:tcW w:w="705" w:type="pct"/>
            <w:tcBorders>
              <w:bottom w:val="single" w:sz="4" w:space="0" w:color="auto"/>
            </w:tcBorders>
            <w:shd w:val="clear" w:color="auto" w:fill="D9D9D9" w:themeFill="background1" w:themeFillShade="D9"/>
            <w:vAlign w:val="center"/>
          </w:tcPr>
          <w:p w14:paraId="7D7418A3" w14:textId="77777777" w:rsidR="001F2233" w:rsidRPr="003F6630" w:rsidRDefault="001F2233" w:rsidP="006C5501">
            <w:pPr>
              <w:jc w:val="center"/>
              <w:rPr>
                <w:rFonts w:ascii="Arial" w:hAnsi="Arial"/>
                <w:b/>
                <w:bCs/>
                <w:color w:val="ED8553"/>
                <w:sz w:val="20"/>
                <w:szCs w:val="20"/>
              </w:rPr>
            </w:pPr>
            <w:r w:rsidRPr="003F6630">
              <w:rPr>
                <w:rFonts w:ascii="Arial" w:hAnsi="Arial"/>
                <w:b/>
                <w:bCs/>
                <w:color w:val="ED8553"/>
                <w:sz w:val="20"/>
                <w:szCs w:val="20"/>
              </w:rPr>
              <w:t>Focus Area 3</w:t>
            </w:r>
          </w:p>
        </w:tc>
        <w:tc>
          <w:tcPr>
            <w:tcW w:w="705" w:type="pct"/>
            <w:tcBorders>
              <w:bottom w:val="single" w:sz="4" w:space="0" w:color="auto"/>
            </w:tcBorders>
            <w:shd w:val="clear" w:color="auto" w:fill="D9D9D9" w:themeFill="background1" w:themeFillShade="D9"/>
            <w:vAlign w:val="center"/>
          </w:tcPr>
          <w:p w14:paraId="69E212FC" w14:textId="77777777" w:rsidR="001F2233" w:rsidRPr="003F6630" w:rsidRDefault="001F2233" w:rsidP="006C5501">
            <w:pPr>
              <w:jc w:val="center"/>
              <w:rPr>
                <w:rFonts w:ascii="Arial" w:hAnsi="Arial"/>
                <w:b/>
                <w:bCs/>
                <w:color w:val="691E61"/>
                <w:sz w:val="20"/>
                <w:szCs w:val="20"/>
              </w:rPr>
            </w:pPr>
            <w:r w:rsidRPr="003F6630">
              <w:rPr>
                <w:rFonts w:ascii="Arial" w:hAnsi="Arial"/>
                <w:b/>
                <w:bCs/>
                <w:color w:val="691E61"/>
                <w:sz w:val="20"/>
                <w:szCs w:val="20"/>
              </w:rPr>
              <w:t>Focus Area 4</w:t>
            </w:r>
          </w:p>
        </w:tc>
      </w:tr>
      <w:tr w:rsidR="001F2233" w:rsidRPr="003F6630" w14:paraId="08DA2976" w14:textId="77777777" w:rsidTr="00C13BCA">
        <w:trPr>
          <w:trHeight w:hRule="exact" w:val="369"/>
        </w:trPr>
        <w:tc>
          <w:tcPr>
            <w:tcW w:w="2180" w:type="pct"/>
            <w:vAlign w:val="center"/>
          </w:tcPr>
          <w:p w14:paraId="78320BA6" w14:textId="77777777" w:rsidR="001F2233" w:rsidRPr="003F6630" w:rsidRDefault="00C13BCA" w:rsidP="00983430">
            <w:pPr>
              <w:spacing w:before="60" w:after="60"/>
              <w:rPr>
                <w:rFonts w:ascii="Arial" w:hAnsi="Arial"/>
                <w:b/>
                <w:bCs/>
                <w:sz w:val="20"/>
                <w:szCs w:val="20"/>
              </w:rPr>
            </w:pPr>
            <w:r w:rsidRPr="003F6630">
              <w:rPr>
                <w:rFonts w:ascii="Arial" w:hAnsi="Arial"/>
                <w:b/>
                <w:bCs/>
                <w:sz w:val="20"/>
                <w:szCs w:val="20"/>
              </w:rPr>
              <w:t>Department of the Premier and Cabinet (</w:t>
            </w:r>
            <w:r w:rsidR="001F2233" w:rsidRPr="003F6630">
              <w:rPr>
                <w:rFonts w:ascii="Arial" w:hAnsi="Arial"/>
                <w:b/>
                <w:bCs/>
                <w:sz w:val="20"/>
                <w:szCs w:val="20"/>
              </w:rPr>
              <w:t>DPC</w:t>
            </w:r>
            <w:r w:rsidRPr="003F6630">
              <w:rPr>
                <w:rFonts w:ascii="Arial" w:hAnsi="Arial"/>
                <w:b/>
                <w:bCs/>
                <w:sz w:val="20"/>
                <w:szCs w:val="20"/>
              </w:rPr>
              <w:t>)</w:t>
            </w:r>
          </w:p>
        </w:tc>
        <w:tc>
          <w:tcPr>
            <w:tcW w:w="705" w:type="pct"/>
            <w:vAlign w:val="center"/>
          </w:tcPr>
          <w:p w14:paraId="32F5E6B4" w14:textId="77777777" w:rsidR="001F2233" w:rsidRPr="003F6630" w:rsidRDefault="001F2233" w:rsidP="00BF7CD5">
            <w:pPr>
              <w:jc w:val="center"/>
              <w:rPr>
                <w:b/>
                <w:bCs/>
                <w:color w:val="379EA5"/>
                <w:sz w:val="20"/>
                <w:szCs w:val="20"/>
              </w:rPr>
            </w:pPr>
          </w:p>
        </w:tc>
        <w:tc>
          <w:tcPr>
            <w:tcW w:w="705" w:type="pct"/>
            <w:vAlign w:val="center"/>
          </w:tcPr>
          <w:p w14:paraId="1EA0438F" w14:textId="77777777" w:rsidR="001F2233" w:rsidRPr="003F6630" w:rsidRDefault="001F2233" w:rsidP="00BF7CD5">
            <w:pPr>
              <w:jc w:val="center"/>
              <w:rPr>
                <w:b/>
                <w:bCs/>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054C9953" w14:textId="77777777" w:rsidR="001F2233" w:rsidRPr="003F6630" w:rsidRDefault="001F2233" w:rsidP="00BF7CD5">
            <w:pPr>
              <w:jc w:val="center"/>
              <w:rPr>
                <w:b/>
                <w:bCs/>
                <w:color w:val="ED8553"/>
                <w:sz w:val="20"/>
                <w:szCs w:val="20"/>
              </w:rPr>
            </w:pPr>
          </w:p>
        </w:tc>
        <w:tc>
          <w:tcPr>
            <w:tcW w:w="705" w:type="pct"/>
            <w:vAlign w:val="center"/>
          </w:tcPr>
          <w:p w14:paraId="66A2A67E" w14:textId="77777777" w:rsidR="001F2233" w:rsidRPr="003F6630" w:rsidRDefault="001F2233" w:rsidP="00BF7CD5">
            <w:pPr>
              <w:jc w:val="center"/>
              <w:rPr>
                <w:b/>
                <w:bCs/>
                <w:color w:val="691E61"/>
                <w:sz w:val="20"/>
                <w:szCs w:val="20"/>
              </w:rPr>
            </w:pPr>
            <w:r w:rsidRPr="003F6630">
              <w:rPr>
                <w:rFonts w:ascii="Wingdings" w:hAnsi="Wingdings"/>
                <w:b/>
                <w:bCs/>
                <w:color w:val="691E61"/>
                <w:sz w:val="20"/>
                <w:szCs w:val="20"/>
              </w:rPr>
              <w:sym w:font="Wingdings" w:char="F06C"/>
            </w:r>
          </w:p>
        </w:tc>
      </w:tr>
      <w:tr w:rsidR="001F2233" w:rsidRPr="003F6630" w14:paraId="20F18A39" w14:textId="77777777" w:rsidTr="00C13BCA">
        <w:trPr>
          <w:trHeight w:hRule="exact" w:val="359"/>
        </w:trPr>
        <w:tc>
          <w:tcPr>
            <w:tcW w:w="2180" w:type="pct"/>
            <w:tcBorders>
              <w:bottom w:val="single" w:sz="4" w:space="0" w:color="auto"/>
            </w:tcBorders>
            <w:vAlign w:val="center"/>
          </w:tcPr>
          <w:p w14:paraId="347546BF" w14:textId="77777777" w:rsidR="001F2233" w:rsidRPr="003F6630" w:rsidRDefault="00FC0039" w:rsidP="00983430">
            <w:pPr>
              <w:spacing w:before="60" w:after="60"/>
              <w:rPr>
                <w:rFonts w:ascii="Arial" w:hAnsi="Arial"/>
                <w:b/>
                <w:bCs/>
                <w:sz w:val="20"/>
                <w:szCs w:val="20"/>
              </w:rPr>
            </w:pPr>
            <w:r w:rsidRPr="003F6630">
              <w:rPr>
                <w:rFonts w:ascii="Arial" w:hAnsi="Arial"/>
                <w:b/>
                <w:bCs/>
                <w:sz w:val="20"/>
                <w:szCs w:val="20"/>
              </w:rPr>
              <w:t>Q</w:t>
            </w:r>
            <w:r w:rsidR="00C13BCA" w:rsidRPr="003F6630">
              <w:rPr>
                <w:rFonts w:ascii="Arial" w:hAnsi="Arial"/>
                <w:b/>
                <w:bCs/>
                <w:sz w:val="20"/>
                <w:szCs w:val="20"/>
              </w:rPr>
              <w:t>ueensland Treasury (Q</w:t>
            </w:r>
            <w:r w:rsidRPr="003F6630">
              <w:rPr>
                <w:rFonts w:ascii="Arial" w:hAnsi="Arial"/>
                <w:b/>
                <w:bCs/>
                <w:sz w:val="20"/>
                <w:szCs w:val="20"/>
              </w:rPr>
              <w:t>T</w:t>
            </w:r>
            <w:r w:rsidR="00C13BCA" w:rsidRPr="003F6630">
              <w:rPr>
                <w:rFonts w:ascii="Arial" w:hAnsi="Arial"/>
                <w:b/>
                <w:bCs/>
                <w:sz w:val="20"/>
                <w:szCs w:val="20"/>
              </w:rPr>
              <w:t>)</w:t>
            </w:r>
          </w:p>
        </w:tc>
        <w:tc>
          <w:tcPr>
            <w:tcW w:w="705" w:type="pct"/>
            <w:tcBorders>
              <w:bottom w:val="single" w:sz="4" w:space="0" w:color="auto"/>
            </w:tcBorders>
            <w:vAlign w:val="center"/>
          </w:tcPr>
          <w:p w14:paraId="1227CDAE" w14:textId="77777777" w:rsidR="001F2233" w:rsidRPr="003F6630" w:rsidRDefault="00FC0039" w:rsidP="00BF7CD5">
            <w:pPr>
              <w:jc w:val="center"/>
              <w:rPr>
                <w:color w:val="379EA5"/>
                <w:sz w:val="20"/>
                <w:szCs w:val="20"/>
              </w:rPr>
            </w:pPr>
            <w:r w:rsidRPr="003F6630">
              <w:rPr>
                <w:rFonts w:ascii="Wingdings" w:hAnsi="Wingdings"/>
                <w:b/>
                <w:bCs/>
                <w:color w:val="379EA5"/>
                <w:sz w:val="20"/>
                <w:szCs w:val="20"/>
              </w:rPr>
              <w:sym w:font="Wingdings" w:char="F06C"/>
            </w:r>
          </w:p>
        </w:tc>
        <w:tc>
          <w:tcPr>
            <w:tcW w:w="705" w:type="pct"/>
            <w:tcBorders>
              <w:bottom w:val="single" w:sz="4" w:space="0" w:color="auto"/>
            </w:tcBorders>
            <w:vAlign w:val="center"/>
          </w:tcPr>
          <w:p w14:paraId="1C0A39D8" w14:textId="77777777" w:rsidR="001F2233" w:rsidRPr="003F6630" w:rsidRDefault="001F2233" w:rsidP="00BF7CD5">
            <w:pPr>
              <w:jc w:val="center"/>
              <w:rPr>
                <w:color w:val="C1363A"/>
                <w:sz w:val="20"/>
                <w:szCs w:val="20"/>
              </w:rPr>
            </w:pPr>
            <w:r w:rsidRPr="003F6630">
              <w:rPr>
                <w:rFonts w:ascii="Wingdings" w:hAnsi="Wingdings"/>
                <w:b/>
                <w:bCs/>
                <w:color w:val="C1363A"/>
                <w:sz w:val="20"/>
                <w:szCs w:val="20"/>
              </w:rPr>
              <w:sym w:font="Wingdings" w:char="F06C"/>
            </w:r>
          </w:p>
        </w:tc>
        <w:tc>
          <w:tcPr>
            <w:tcW w:w="705" w:type="pct"/>
            <w:tcBorders>
              <w:bottom w:val="single" w:sz="4" w:space="0" w:color="auto"/>
            </w:tcBorders>
            <w:vAlign w:val="center"/>
          </w:tcPr>
          <w:p w14:paraId="4F59DEB2" w14:textId="77777777" w:rsidR="001F2233" w:rsidRPr="003F6630" w:rsidRDefault="001F2233" w:rsidP="00BF7CD5">
            <w:pPr>
              <w:jc w:val="center"/>
              <w:rPr>
                <w:color w:val="ED8553"/>
                <w:sz w:val="20"/>
                <w:szCs w:val="20"/>
              </w:rPr>
            </w:pPr>
          </w:p>
        </w:tc>
        <w:tc>
          <w:tcPr>
            <w:tcW w:w="705" w:type="pct"/>
            <w:tcBorders>
              <w:bottom w:val="single" w:sz="4" w:space="0" w:color="auto"/>
            </w:tcBorders>
            <w:vAlign w:val="center"/>
          </w:tcPr>
          <w:p w14:paraId="45C13A97" w14:textId="77777777" w:rsidR="001F2233" w:rsidRPr="003F6630" w:rsidRDefault="001F2233" w:rsidP="00BF7CD5">
            <w:pPr>
              <w:jc w:val="center"/>
              <w:rPr>
                <w:color w:val="691E61"/>
                <w:sz w:val="20"/>
                <w:szCs w:val="20"/>
              </w:rPr>
            </w:pPr>
            <w:r w:rsidRPr="003F6630">
              <w:rPr>
                <w:rFonts w:ascii="Wingdings" w:hAnsi="Wingdings"/>
                <w:b/>
                <w:bCs/>
                <w:color w:val="691E61"/>
                <w:sz w:val="20"/>
                <w:szCs w:val="20"/>
              </w:rPr>
              <w:sym w:font="Wingdings" w:char="F06C"/>
            </w:r>
          </w:p>
        </w:tc>
      </w:tr>
      <w:tr w:rsidR="001F2233" w:rsidRPr="003F6630" w14:paraId="3887A09B" w14:textId="77777777" w:rsidTr="00C13BCA">
        <w:trPr>
          <w:trHeight w:hRule="exact" w:val="369"/>
        </w:trPr>
        <w:tc>
          <w:tcPr>
            <w:tcW w:w="2180" w:type="pct"/>
            <w:vAlign w:val="center"/>
          </w:tcPr>
          <w:p w14:paraId="6D507E9A" w14:textId="77777777" w:rsidR="001F2233" w:rsidRPr="003F6630" w:rsidRDefault="00C13BCA" w:rsidP="00983430">
            <w:pPr>
              <w:spacing w:before="60" w:after="60"/>
              <w:rPr>
                <w:rFonts w:ascii="Arial" w:hAnsi="Arial"/>
                <w:b/>
                <w:bCs/>
                <w:sz w:val="20"/>
                <w:szCs w:val="20"/>
              </w:rPr>
            </w:pPr>
            <w:r w:rsidRPr="003F6630">
              <w:rPr>
                <w:rFonts w:ascii="Arial" w:hAnsi="Arial"/>
                <w:b/>
                <w:bCs/>
                <w:sz w:val="20"/>
                <w:szCs w:val="20"/>
              </w:rPr>
              <w:t>Corrective Services (</w:t>
            </w:r>
            <w:r w:rsidR="00781B2E" w:rsidRPr="003F6630">
              <w:rPr>
                <w:rFonts w:ascii="Arial" w:hAnsi="Arial"/>
                <w:b/>
                <w:bCs/>
                <w:sz w:val="20"/>
                <w:szCs w:val="20"/>
              </w:rPr>
              <w:t>Q</w:t>
            </w:r>
            <w:r w:rsidR="00FC0039" w:rsidRPr="003F6630">
              <w:rPr>
                <w:rFonts w:ascii="Arial" w:hAnsi="Arial"/>
                <w:b/>
                <w:bCs/>
                <w:sz w:val="20"/>
                <w:szCs w:val="20"/>
              </w:rPr>
              <w:t>CS</w:t>
            </w:r>
            <w:r w:rsidRPr="003F6630">
              <w:rPr>
                <w:rFonts w:ascii="Arial" w:hAnsi="Arial"/>
                <w:b/>
                <w:bCs/>
                <w:sz w:val="20"/>
                <w:szCs w:val="20"/>
              </w:rPr>
              <w:t>)</w:t>
            </w:r>
          </w:p>
        </w:tc>
        <w:tc>
          <w:tcPr>
            <w:tcW w:w="705" w:type="pct"/>
            <w:vAlign w:val="center"/>
          </w:tcPr>
          <w:p w14:paraId="4415C83D" w14:textId="77777777" w:rsidR="001F2233" w:rsidRPr="003F6630" w:rsidRDefault="009921FD" w:rsidP="00BF7CD5">
            <w:pPr>
              <w:jc w:val="center"/>
              <w:rPr>
                <w:color w:val="379EA5"/>
                <w:sz w:val="20"/>
                <w:szCs w:val="20"/>
              </w:rPr>
            </w:pPr>
            <w:r w:rsidRPr="003F6630">
              <w:rPr>
                <w:rFonts w:ascii="Wingdings" w:hAnsi="Wingdings"/>
                <w:b/>
                <w:bCs/>
                <w:color w:val="379EA5"/>
                <w:sz w:val="20"/>
                <w:szCs w:val="20"/>
              </w:rPr>
              <w:sym w:font="Wingdings" w:char="F06C"/>
            </w:r>
          </w:p>
        </w:tc>
        <w:tc>
          <w:tcPr>
            <w:tcW w:w="705" w:type="pct"/>
            <w:vAlign w:val="center"/>
          </w:tcPr>
          <w:p w14:paraId="12AFB463" w14:textId="77777777" w:rsidR="001F2233" w:rsidRPr="003F6630" w:rsidRDefault="001F2233" w:rsidP="00BF7CD5">
            <w:pPr>
              <w:jc w:val="center"/>
              <w:rPr>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79A806D7" w14:textId="77777777" w:rsidR="001F2233" w:rsidRPr="003F6630" w:rsidRDefault="001F2233" w:rsidP="00BF7CD5">
            <w:pPr>
              <w:jc w:val="center"/>
              <w:rPr>
                <w:color w:val="ED8553"/>
                <w:sz w:val="20"/>
                <w:szCs w:val="20"/>
              </w:rPr>
            </w:pPr>
          </w:p>
        </w:tc>
        <w:tc>
          <w:tcPr>
            <w:tcW w:w="705" w:type="pct"/>
            <w:vAlign w:val="center"/>
          </w:tcPr>
          <w:p w14:paraId="3E1B4DE2" w14:textId="77777777" w:rsidR="001F2233" w:rsidRPr="003F6630" w:rsidRDefault="001F2233" w:rsidP="00BF7CD5">
            <w:pPr>
              <w:jc w:val="center"/>
              <w:rPr>
                <w:color w:val="691E61"/>
                <w:sz w:val="20"/>
                <w:szCs w:val="20"/>
              </w:rPr>
            </w:pPr>
            <w:r w:rsidRPr="003F6630">
              <w:rPr>
                <w:rFonts w:ascii="Wingdings" w:hAnsi="Wingdings"/>
                <w:b/>
                <w:bCs/>
                <w:color w:val="691E61"/>
                <w:sz w:val="20"/>
                <w:szCs w:val="20"/>
              </w:rPr>
              <w:sym w:font="Wingdings" w:char="F06C"/>
            </w:r>
          </w:p>
        </w:tc>
      </w:tr>
      <w:tr w:rsidR="001F2233" w:rsidRPr="003F6630" w14:paraId="1A607E1D" w14:textId="77777777" w:rsidTr="00241016">
        <w:trPr>
          <w:trHeight w:hRule="exact" w:val="595"/>
        </w:trPr>
        <w:tc>
          <w:tcPr>
            <w:tcW w:w="2180" w:type="pct"/>
            <w:vAlign w:val="center"/>
          </w:tcPr>
          <w:p w14:paraId="46293B6A" w14:textId="77777777" w:rsidR="001F2233" w:rsidRPr="003F6630" w:rsidRDefault="00241016" w:rsidP="00983430">
            <w:pPr>
              <w:spacing w:before="60" w:after="60"/>
              <w:rPr>
                <w:rFonts w:ascii="Arial" w:hAnsi="Arial"/>
                <w:b/>
                <w:bCs/>
                <w:sz w:val="20"/>
                <w:szCs w:val="20"/>
              </w:rPr>
            </w:pPr>
            <w:r w:rsidRPr="003F6630">
              <w:rPr>
                <w:rFonts w:ascii="Arial" w:hAnsi="Arial"/>
                <w:b/>
                <w:bCs/>
                <w:sz w:val="20"/>
                <w:szCs w:val="20"/>
              </w:rPr>
              <w:t>Department of Customer Services, Open Data and Small and Family Business (</w:t>
            </w:r>
            <w:r w:rsidR="00FC0039" w:rsidRPr="003F6630">
              <w:rPr>
                <w:rFonts w:ascii="Arial" w:hAnsi="Arial"/>
                <w:b/>
                <w:bCs/>
                <w:sz w:val="20"/>
                <w:szCs w:val="20"/>
              </w:rPr>
              <w:t>DCSODSFB</w:t>
            </w:r>
            <w:r w:rsidRPr="003F6630">
              <w:rPr>
                <w:rFonts w:ascii="Arial" w:hAnsi="Arial"/>
                <w:b/>
                <w:bCs/>
                <w:sz w:val="20"/>
                <w:szCs w:val="20"/>
              </w:rPr>
              <w:t>)</w:t>
            </w:r>
          </w:p>
        </w:tc>
        <w:tc>
          <w:tcPr>
            <w:tcW w:w="705" w:type="pct"/>
            <w:vAlign w:val="center"/>
          </w:tcPr>
          <w:p w14:paraId="36D93AEF" w14:textId="77777777" w:rsidR="001F2233" w:rsidRPr="003F6630" w:rsidRDefault="001F2233" w:rsidP="00BF7CD5">
            <w:pPr>
              <w:jc w:val="center"/>
              <w:rPr>
                <w:color w:val="379EA5"/>
                <w:sz w:val="20"/>
                <w:szCs w:val="20"/>
              </w:rPr>
            </w:pPr>
          </w:p>
        </w:tc>
        <w:tc>
          <w:tcPr>
            <w:tcW w:w="705" w:type="pct"/>
            <w:vAlign w:val="center"/>
          </w:tcPr>
          <w:p w14:paraId="46B6AC1B" w14:textId="77777777" w:rsidR="001F2233" w:rsidRPr="003F6630" w:rsidRDefault="001F2233" w:rsidP="00BF7CD5">
            <w:pPr>
              <w:jc w:val="center"/>
              <w:rPr>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68F55402" w14:textId="77777777" w:rsidR="001F2233" w:rsidRPr="003F6630" w:rsidRDefault="009921FD" w:rsidP="00BF7CD5">
            <w:pPr>
              <w:jc w:val="center"/>
              <w:rPr>
                <w:color w:val="ED8553"/>
                <w:sz w:val="20"/>
                <w:szCs w:val="20"/>
              </w:rPr>
            </w:pPr>
            <w:r w:rsidRPr="003F6630">
              <w:rPr>
                <w:rFonts w:ascii="Wingdings" w:hAnsi="Wingdings"/>
                <w:b/>
                <w:bCs/>
                <w:color w:val="ED8553"/>
                <w:sz w:val="20"/>
                <w:szCs w:val="20"/>
              </w:rPr>
              <w:sym w:font="Wingdings" w:char="F06C"/>
            </w:r>
          </w:p>
        </w:tc>
        <w:tc>
          <w:tcPr>
            <w:tcW w:w="705" w:type="pct"/>
            <w:vAlign w:val="center"/>
          </w:tcPr>
          <w:p w14:paraId="26A4C684" w14:textId="77777777" w:rsidR="001F2233" w:rsidRPr="003F6630" w:rsidRDefault="001F2233" w:rsidP="00BF7CD5">
            <w:pPr>
              <w:jc w:val="center"/>
              <w:rPr>
                <w:color w:val="691E61"/>
                <w:sz w:val="20"/>
                <w:szCs w:val="20"/>
              </w:rPr>
            </w:pPr>
            <w:r w:rsidRPr="003F6630">
              <w:rPr>
                <w:rFonts w:ascii="Wingdings" w:hAnsi="Wingdings"/>
                <w:b/>
                <w:bCs/>
                <w:color w:val="691E61"/>
                <w:sz w:val="20"/>
                <w:szCs w:val="20"/>
              </w:rPr>
              <w:sym w:font="Wingdings" w:char="F06C"/>
            </w:r>
          </w:p>
        </w:tc>
      </w:tr>
      <w:tr w:rsidR="001F2233" w:rsidRPr="003F6630" w14:paraId="622344F1" w14:textId="77777777" w:rsidTr="00C13BCA">
        <w:trPr>
          <w:trHeight w:hRule="exact" w:val="319"/>
        </w:trPr>
        <w:tc>
          <w:tcPr>
            <w:tcW w:w="2180" w:type="pct"/>
            <w:vAlign w:val="center"/>
          </w:tcPr>
          <w:p w14:paraId="02D2CEF1" w14:textId="77777777" w:rsidR="001F2233" w:rsidRPr="003F6630" w:rsidRDefault="004A4657" w:rsidP="00983430">
            <w:pPr>
              <w:spacing w:before="60" w:after="60"/>
              <w:rPr>
                <w:rFonts w:ascii="Arial" w:hAnsi="Arial"/>
                <w:b/>
                <w:bCs/>
                <w:sz w:val="20"/>
                <w:szCs w:val="20"/>
              </w:rPr>
            </w:pPr>
            <w:r w:rsidRPr="003F6630">
              <w:rPr>
                <w:rFonts w:ascii="Arial" w:hAnsi="Arial"/>
                <w:b/>
                <w:bCs/>
                <w:sz w:val="20"/>
                <w:szCs w:val="20"/>
              </w:rPr>
              <w:t>Education (</w:t>
            </w:r>
            <w:r w:rsidR="00FC0039" w:rsidRPr="003F6630">
              <w:rPr>
                <w:rFonts w:ascii="Arial" w:hAnsi="Arial"/>
                <w:b/>
                <w:bCs/>
                <w:sz w:val="20"/>
                <w:szCs w:val="20"/>
              </w:rPr>
              <w:t>DoE</w:t>
            </w:r>
            <w:r w:rsidRPr="003F6630">
              <w:rPr>
                <w:rFonts w:ascii="Arial" w:hAnsi="Arial"/>
                <w:b/>
                <w:bCs/>
                <w:sz w:val="20"/>
                <w:szCs w:val="20"/>
              </w:rPr>
              <w:t>)</w:t>
            </w:r>
          </w:p>
        </w:tc>
        <w:tc>
          <w:tcPr>
            <w:tcW w:w="705" w:type="pct"/>
            <w:vAlign w:val="center"/>
          </w:tcPr>
          <w:p w14:paraId="6C59B410" w14:textId="77777777" w:rsidR="001F2233" w:rsidRPr="003F6630" w:rsidRDefault="00FC0039" w:rsidP="00BF7CD5">
            <w:pPr>
              <w:jc w:val="center"/>
              <w:rPr>
                <w:color w:val="379EA5"/>
                <w:sz w:val="20"/>
                <w:szCs w:val="20"/>
              </w:rPr>
            </w:pPr>
            <w:r w:rsidRPr="003F6630">
              <w:rPr>
                <w:rFonts w:ascii="Wingdings" w:hAnsi="Wingdings"/>
                <w:b/>
                <w:bCs/>
                <w:color w:val="379EA5"/>
                <w:sz w:val="20"/>
                <w:szCs w:val="20"/>
              </w:rPr>
              <w:sym w:font="Wingdings" w:char="F06C"/>
            </w:r>
          </w:p>
        </w:tc>
        <w:tc>
          <w:tcPr>
            <w:tcW w:w="705" w:type="pct"/>
            <w:vAlign w:val="center"/>
          </w:tcPr>
          <w:p w14:paraId="485DB2B7" w14:textId="77777777" w:rsidR="001F2233" w:rsidRPr="003F6630" w:rsidRDefault="001F2233" w:rsidP="00BF7CD5">
            <w:pPr>
              <w:jc w:val="center"/>
              <w:rPr>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4D9DEC6C" w14:textId="77777777" w:rsidR="001F2233" w:rsidRPr="003F6630" w:rsidRDefault="009921FD" w:rsidP="00BF7CD5">
            <w:pPr>
              <w:jc w:val="center"/>
              <w:rPr>
                <w:color w:val="ED8553"/>
                <w:sz w:val="20"/>
                <w:szCs w:val="20"/>
              </w:rPr>
            </w:pPr>
            <w:r w:rsidRPr="003F6630">
              <w:rPr>
                <w:rFonts w:ascii="Wingdings" w:hAnsi="Wingdings"/>
                <w:b/>
                <w:bCs/>
                <w:color w:val="ED8553"/>
                <w:sz w:val="20"/>
                <w:szCs w:val="20"/>
              </w:rPr>
              <w:sym w:font="Wingdings" w:char="F06C"/>
            </w:r>
          </w:p>
        </w:tc>
        <w:tc>
          <w:tcPr>
            <w:tcW w:w="705" w:type="pct"/>
            <w:vAlign w:val="center"/>
          </w:tcPr>
          <w:p w14:paraId="3E83D230" w14:textId="77777777" w:rsidR="001F2233" w:rsidRPr="003F6630" w:rsidRDefault="001F2233" w:rsidP="00BF7CD5">
            <w:pPr>
              <w:jc w:val="center"/>
              <w:rPr>
                <w:color w:val="691E61"/>
                <w:sz w:val="20"/>
                <w:szCs w:val="20"/>
              </w:rPr>
            </w:pPr>
            <w:r w:rsidRPr="003F6630">
              <w:rPr>
                <w:rFonts w:ascii="Wingdings" w:hAnsi="Wingdings"/>
                <w:b/>
                <w:bCs/>
                <w:color w:val="691E61"/>
                <w:sz w:val="20"/>
                <w:szCs w:val="20"/>
              </w:rPr>
              <w:sym w:font="Wingdings" w:char="F06C"/>
            </w:r>
          </w:p>
        </w:tc>
      </w:tr>
      <w:tr w:rsidR="001F2233" w:rsidRPr="003F6630" w14:paraId="0C13BAB7" w14:textId="77777777" w:rsidTr="003F6630">
        <w:trPr>
          <w:trHeight w:hRule="exact" w:val="764"/>
        </w:trPr>
        <w:tc>
          <w:tcPr>
            <w:tcW w:w="2180" w:type="pct"/>
            <w:vAlign w:val="center"/>
          </w:tcPr>
          <w:p w14:paraId="7E18B2A8" w14:textId="77777777" w:rsidR="001F2233" w:rsidRPr="003F6630" w:rsidRDefault="003D60D7" w:rsidP="00983430">
            <w:pPr>
              <w:spacing w:before="60" w:after="60"/>
              <w:rPr>
                <w:rFonts w:ascii="Arial" w:hAnsi="Arial"/>
                <w:b/>
                <w:bCs/>
                <w:sz w:val="20"/>
                <w:szCs w:val="20"/>
              </w:rPr>
            </w:pPr>
            <w:r w:rsidRPr="003F6630">
              <w:rPr>
                <w:rFonts w:ascii="Arial" w:hAnsi="Arial"/>
                <w:b/>
                <w:bCs/>
                <w:sz w:val="20"/>
                <w:szCs w:val="20"/>
              </w:rPr>
              <w:t>Department of Environment, Tourism, Science and Innovation (</w:t>
            </w:r>
            <w:r w:rsidR="00FC0039" w:rsidRPr="003F6630">
              <w:rPr>
                <w:rFonts w:ascii="Arial" w:hAnsi="Arial"/>
                <w:b/>
                <w:bCs/>
                <w:sz w:val="20"/>
                <w:szCs w:val="20"/>
              </w:rPr>
              <w:t>DETSI</w:t>
            </w:r>
            <w:r w:rsidRPr="003F6630">
              <w:rPr>
                <w:rFonts w:ascii="Arial" w:hAnsi="Arial"/>
                <w:b/>
                <w:bCs/>
                <w:sz w:val="20"/>
                <w:szCs w:val="20"/>
              </w:rPr>
              <w:t>)</w:t>
            </w:r>
          </w:p>
        </w:tc>
        <w:tc>
          <w:tcPr>
            <w:tcW w:w="705" w:type="pct"/>
            <w:vAlign w:val="center"/>
          </w:tcPr>
          <w:p w14:paraId="148AC075" w14:textId="77777777" w:rsidR="001F2233" w:rsidRPr="003F6630" w:rsidRDefault="00FC0039" w:rsidP="00BF7CD5">
            <w:pPr>
              <w:jc w:val="center"/>
              <w:rPr>
                <w:rFonts w:ascii="Wingdings" w:hAnsi="Wingdings"/>
                <w:b/>
                <w:bCs/>
                <w:color w:val="379EA5"/>
                <w:sz w:val="20"/>
                <w:szCs w:val="20"/>
              </w:rPr>
            </w:pPr>
            <w:r w:rsidRPr="003F6630">
              <w:rPr>
                <w:rFonts w:ascii="Wingdings" w:hAnsi="Wingdings"/>
                <w:b/>
                <w:bCs/>
                <w:color w:val="379EA5"/>
                <w:sz w:val="20"/>
                <w:szCs w:val="20"/>
              </w:rPr>
              <w:sym w:font="Wingdings" w:char="F06C"/>
            </w:r>
          </w:p>
        </w:tc>
        <w:tc>
          <w:tcPr>
            <w:tcW w:w="705" w:type="pct"/>
            <w:vAlign w:val="center"/>
          </w:tcPr>
          <w:p w14:paraId="2A0611DC" w14:textId="77777777" w:rsidR="001F2233" w:rsidRPr="003F6630" w:rsidRDefault="001F2233" w:rsidP="00BF7CD5">
            <w:pPr>
              <w:jc w:val="center"/>
              <w:rPr>
                <w:rFonts w:ascii="Wingdings" w:hAnsi="Wingdings"/>
                <w:b/>
                <w:bCs/>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45E7F818" w14:textId="77777777" w:rsidR="001F2233" w:rsidRPr="003F6630" w:rsidRDefault="009921FD" w:rsidP="00BF7CD5">
            <w:pPr>
              <w:jc w:val="center"/>
              <w:rPr>
                <w:rFonts w:ascii="Wingdings" w:hAnsi="Wingdings"/>
                <w:b/>
                <w:bCs/>
                <w:color w:val="ED8553"/>
                <w:sz w:val="20"/>
                <w:szCs w:val="20"/>
              </w:rPr>
            </w:pPr>
            <w:r w:rsidRPr="003F6630">
              <w:rPr>
                <w:rFonts w:ascii="Wingdings" w:hAnsi="Wingdings"/>
                <w:b/>
                <w:bCs/>
                <w:color w:val="ED8553"/>
                <w:sz w:val="20"/>
                <w:szCs w:val="20"/>
              </w:rPr>
              <w:sym w:font="Wingdings" w:char="F06C"/>
            </w:r>
          </w:p>
        </w:tc>
        <w:tc>
          <w:tcPr>
            <w:tcW w:w="705" w:type="pct"/>
            <w:vAlign w:val="center"/>
          </w:tcPr>
          <w:p w14:paraId="6F257C05" w14:textId="77777777" w:rsidR="001F2233" w:rsidRPr="003F6630" w:rsidRDefault="001F2233" w:rsidP="00BF7CD5">
            <w:pPr>
              <w:jc w:val="center"/>
              <w:rPr>
                <w:rFonts w:ascii="Wingdings" w:hAnsi="Wingdings"/>
                <w:b/>
                <w:bCs/>
                <w:color w:val="691E61"/>
                <w:sz w:val="20"/>
                <w:szCs w:val="20"/>
              </w:rPr>
            </w:pPr>
            <w:r w:rsidRPr="003F6630">
              <w:rPr>
                <w:rFonts w:ascii="Wingdings" w:hAnsi="Wingdings"/>
                <w:b/>
                <w:bCs/>
                <w:color w:val="691E61"/>
                <w:sz w:val="20"/>
                <w:szCs w:val="20"/>
              </w:rPr>
              <w:sym w:font="Wingdings" w:char="F06C"/>
            </w:r>
          </w:p>
        </w:tc>
      </w:tr>
      <w:tr w:rsidR="001F2233" w:rsidRPr="003F6630" w14:paraId="61040146" w14:textId="77777777" w:rsidTr="003F6630">
        <w:trPr>
          <w:trHeight w:hRule="exact" w:val="819"/>
        </w:trPr>
        <w:tc>
          <w:tcPr>
            <w:tcW w:w="2180" w:type="pct"/>
            <w:vAlign w:val="center"/>
          </w:tcPr>
          <w:p w14:paraId="6BEEAB5C" w14:textId="77777777" w:rsidR="001F2233" w:rsidRPr="003F6630" w:rsidRDefault="00DB04F5" w:rsidP="00983430">
            <w:pPr>
              <w:spacing w:before="60" w:after="60"/>
              <w:rPr>
                <w:rFonts w:ascii="Arial" w:hAnsi="Arial"/>
                <w:b/>
                <w:bCs/>
                <w:sz w:val="20"/>
                <w:szCs w:val="20"/>
              </w:rPr>
            </w:pPr>
            <w:r w:rsidRPr="003F6630">
              <w:rPr>
                <w:rFonts w:ascii="Arial" w:hAnsi="Arial"/>
                <w:b/>
                <w:bCs/>
                <w:sz w:val="20"/>
                <w:szCs w:val="20"/>
              </w:rPr>
              <w:t>Department of Families, Seniors, Disability Services and Child Safety (</w:t>
            </w:r>
            <w:r w:rsidR="00FC0039" w:rsidRPr="003F6630">
              <w:rPr>
                <w:rFonts w:ascii="Arial" w:hAnsi="Arial"/>
                <w:b/>
                <w:bCs/>
                <w:sz w:val="20"/>
                <w:szCs w:val="20"/>
              </w:rPr>
              <w:t>DFSDSCS</w:t>
            </w:r>
            <w:r w:rsidRPr="003F6630">
              <w:rPr>
                <w:rFonts w:ascii="Arial" w:hAnsi="Arial"/>
                <w:b/>
                <w:bCs/>
                <w:sz w:val="20"/>
                <w:szCs w:val="20"/>
              </w:rPr>
              <w:t>)</w:t>
            </w:r>
          </w:p>
        </w:tc>
        <w:tc>
          <w:tcPr>
            <w:tcW w:w="705" w:type="pct"/>
            <w:vAlign w:val="center"/>
          </w:tcPr>
          <w:p w14:paraId="3E30E10F" w14:textId="77777777" w:rsidR="001F2233" w:rsidRPr="003F6630" w:rsidRDefault="001F2233" w:rsidP="00BF7CD5">
            <w:pPr>
              <w:jc w:val="center"/>
              <w:rPr>
                <w:strike/>
                <w:color w:val="379EA5"/>
                <w:sz w:val="20"/>
                <w:szCs w:val="20"/>
              </w:rPr>
            </w:pPr>
            <w:r w:rsidRPr="003F6630">
              <w:rPr>
                <w:rFonts w:ascii="Wingdings" w:hAnsi="Wingdings"/>
                <w:b/>
                <w:bCs/>
                <w:color w:val="379EA5"/>
                <w:sz w:val="20"/>
                <w:szCs w:val="20"/>
              </w:rPr>
              <w:sym w:font="Wingdings" w:char="F06C"/>
            </w:r>
          </w:p>
        </w:tc>
        <w:tc>
          <w:tcPr>
            <w:tcW w:w="705" w:type="pct"/>
            <w:vAlign w:val="center"/>
          </w:tcPr>
          <w:p w14:paraId="7436C101" w14:textId="77777777" w:rsidR="001F2233" w:rsidRPr="003F6630" w:rsidRDefault="001F2233" w:rsidP="00BF7CD5">
            <w:pPr>
              <w:jc w:val="center"/>
              <w:rPr>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73974B48" w14:textId="77777777" w:rsidR="001F2233" w:rsidRPr="003F6630" w:rsidRDefault="001F2233" w:rsidP="00BF7CD5">
            <w:pPr>
              <w:jc w:val="center"/>
              <w:rPr>
                <w:color w:val="ED8553"/>
                <w:sz w:val="20"/>
                <w:szCs w:val="20"/>
              </w:rPr>
            </w:pPr>
          </w:p>
        </w:tc>
        <w:tc>
          <w:tcPr>
            <w:tcW w:w="705" w:type="pct"/>
            <w:vAlign w:val="center"/>
          </w:tcPr>
          <w:p w14:paraId="0E2FF62E" w14:textId="77777777" w:rsidR="001F2233" w:rsidRPr="003F6630" w:rsidRDefault="001F2233" w:rsidP="00BF7CD5">
            <w:pPr>
              <w:jc w:val="center"/>
              <w:rPr>
                <w:color w:val="691E61"/>
                <w:sz w:val="20"/>
                <w:szCs w:val="20"/>
              </w:rPr>
            </w:pPr>
            <w:r w:rsidRPr="003F6630">
              <w:rPr>
                <w:rFonts w:ascii="Wingdings" w:hAnsi="Wingdings"/>
                <w:b/>
                <w:bCs/>
                <w:color w:val="691E61"/>
                <w:sz w:val="20"/>
                <w:szCs w:val="20"/>
              </w:rPr>
              <w:sym w:font="Wingdings" w:char="F06C"/>
            </w:r>
          </w:p>
        </w:tc>
      </w:tr>
      <w:tr w:rsidR="001F2233" w:rsidRPr="003F6630" w14:paraId="2F7879FF" w14:textId="77777777" w:rsidTr="00C13BCA">
        <w:trPr>
          <w:trHeight w:hRule="exact" w:val="369"/>
        </w:trPr>
        <w:tc>
          <w:tcPr>
            <w:tcW w:w="2180" w:type="pct"/>
            <w:vAlign w:val="center"/>
          </w:tcPr>
          <w:p w14:paraId="71B1CDF7" w14:textId="77777777" w:rsidR="001F2233" w:rsidRPr="003F6630" w:rsidRDefault="00213AC7" w:rsidP="00983430">
            <w:pPr>
              <w:spacing w:before="60" w:after="60"/>
              <w:rPr>
                <w:rFonts w:ascii="Arial" w:hAnsi="Arial"/>
                <w:b/>
                <w:bCs/>
                <w:sz w:val="20"/>
                <w:szCs w:val="20"/>
              </w:rPr>
            </w:pPr>
            <w:r w:rsidRPr="003F6630">
              <w:rPr>
                <w:rFonts w:ascii="Arial" w:hAnsi="Arial"/>
                <w:b/>
                <w:bCs/>
                <w:sz w:val="20"/>
                <w:szCs w:val="20"/>
              </w:rPr>
              <w:t>Queensland Fire Department (</w:t>
            </w:r>
            <w:r w:rsidR="00FC0039" w:rsidRPr="003F6630">
              <w:rPr>
                <w:rFonts w:ascii="Arial" w:hAnsi="Arial"/>
                <w:b/>
                <w:bCs/>
                <w:sz w:val="20"/>
                <w:szCs w:val="20"/>
              </w:rPr>
              <w:t>QFD</w:t>
            </w:r>
            <w:r w:rsidRPr="003F6630">
              <w:rPr>
                <w:rFonts w:ascii="Arial" w:hAnsi="Arial"/>
                <w:b/>
                <w:bCs/>
                <w:sz w:val="20"/>
                <w:szCs w:val="20"/>
              </w:rPr>
              <w:t>)</w:t>
            </w:r>
          </w:p>
        </w:tc>
        <w:tc>
          <w:tcPr>
            <w:tcW w:w="705" w:type="pct"/>
            <w:vAlign w:val="center"/>
          </w:tcPr>
          <w:p w14:paraId="4D378061" w14:textId="77777777" w:rsidR="001F2233" w:rsidRPr="003F6630" w:rsidRDefault="009921FD" w:rsidP="00BF7CD5">
            <w:pPr>
              <w:jc w:val="center"/>
              <w:rPr>
                <w:rFonts w:ascii="Wingdings" w:hAnsi="Wingdings"/>
                <w:b/>
                <w:bCs/>
                <w:color w:val="379EA5"/>
                <w:sz w:val="20"/>
                <w:szCs w:val="20"/>
              </w:rPr>
            </w:pPr>
            <w:r w:rsidRPr="003F6630">
              <w:rPr>
                <w:rFonts w:ascii="Wingdings" w:hAnsi="Wingdings"/>
                <w:b/>
                <w:bCs/>
                <w:color w:val="379EA5"/>
                <w:sz w:val="20"/>
                <w:szCs w:val="20"/>
              </w:rPr>
              <w:sym w:font="Wingdings" w:char="F06C"/>
            </w:r>
          </w:p>
        </w:tc>
        <w:tc>
          <w:tcPr>
            <w:tcW w:w="705" w:type="pct"/>
            <w:vAlign w:val="center"/>
          </w:tcPr>
          <w:p w14:paraId="6544E89F" w14:textId="77777777" w:rsidR="001F2233" w:rsidRPr="003F6630" w:rsidRDefault="001F2233" w:rsidP="00BF7CD5">
            <w:pPr>
              <w:jc w:val="center"/>
              <w:rPr>
                <w:rFonts w:ascii="Wingdings" w:hAnsi="Wingdings"/>
                <w:b/>
                <w:bCs/>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1F9CFE5F" w14:textId="77777777" w:rsidR="001F2233" w:rsidRPr="003F6630" w:rsidRDefault="001F2233" w:rsidP="00BF7CD5">
            <w:pPr>
              <w:jc w:val="center"/>
              <w:rPr>
                <w:rFonts w:ascii="Wingdings" w:hAnsi="Wingdings"/>
                <w:b/>
                <w:bCs/>
                <w:color w:val="ED8553"/>
                <w:sz w:val="20"/>
                <w:szCs w:val="20"/>
              </w:rPr>
            </w:pPr>
          </w:p>
        </w:tc>
        <w:tc>
          <w:tcPr>
            <w:tcW w:w="705" w:type="pct"/>
            <w:vAlign w:val="center"/>
          </w:tcPr>
          <w:p w14:paraId="64D7377C" w14:textId="77777777" w:rsidR="001F2233" w:rsidRPr="003F6630" w:rsidRDefault="001F2233" w:rsidP="00BF7CD5">
            <w:pPr>
              <w:jc w:val="center"/>
              <w:rPr>
                <w:rFonts w:ascii="Wingdings" w:hAnsi="Wingdings"/>
                <w:b/>
                <w:bCs/>
                <w:color w:val="691E61"/>
                <w:sz w:val="20"/>
                <w:szCs w:val="20"/>
              </w:rPr>
            </w:pPr>
            <w:r w:rsidRPr="003F6630">
              <w:rPr>
                <w:rFonts w:ascii="Wingdings" w:hAnsi="Wingdings"/>
                <w:b/>
                <w:bCs/>
                <w:color w:val="691E61"/>
                <w:sz w:val="20"/>
                <w:szCs w:val="20"/>
              </w:rPr>
              <w:sym w:font="Wingdings" w:char="F06C"/>
            </w:r>
          </w:p>
        </w:tc>
      </w:tr>
      <w:tr w:rsidR="001F2233" w:rsidRPr="003F6630" w14:paraId="69FA309F" w14:textId="77777777" w:rsidTr="00C13BCA">
        <w:trPr>
          <w:trHeight w:hRule="exact" w:val="335"/>
        </w:trPr>
        <w:tc>
          <w:tcPr>
            <w:tcW w:w="2180" w:type="pct"/>
            <w:vAlign w:val="center"/>
          </w:tcPr>
          <w:p w14:paraId="3BECFF55" w14:textId="77777777" w:rsidR="001F2233" w:rsidRPr="003F6630" w:rsidRDefault="006C528A" w:rsidP="00983430">
            <w:pPr>
              <w:spacing w:before="60" w:after="60"/>
              <w:rPr>
                <w:rFonts w:ascii="Arial" w:hAnsi="Arial"/>
                <w:b/>
                <w:bCs/>
                <w:sz w:val="20"/>
                <w:szCs w:val="20"/>
              </w:rPr>
            </w:pPr>
            <w:r w:rsidRPr="003F6630">
              <w:rPr>
                <w:rFonts w:ascii="Arial" w:hAnsi="Arial"/>
                <w:b/>
                <w:bCs/>
                <w:sz w:val="20"/>
                <w:szCs w:val="20"/>
              </w:rPr>
              <w:t>Queensland Health (</w:t>
            </w:r>
            <w:r w:rsidR="00FC0039" w:rsidRPr="003F6630">
              <w:rPr>
                <w:rFonts w:ascii="Arial" w:hAnsi="Arial"/>
                <w:b/>
                <w:bCs/>
                <w:sz w:val="20"/>
                <w:szCs w:val="20"/>
              </w:rPr>
              <w:t>QH</w:t>
            </w:r>
            <w:r w:rsidRPr="003F6630">
              <w:rPr>
                <w:rFonts w:ascii="Arial" w:hAnsi="Arial"/>
                <w:b/>
                <w:bCs/>
                <w:sz w:val="20"/>
                <w:szCs w:val="20"/>
              </w:rPr>
              <w:t>)</w:t>
            </w:r>
          </w:p>
        </w:tc>
        <w:tc>
          <w:tcPr>
            <w:tcW w:w="705" w:type="pct"/>
            <w:vAlign w:val="center"/>
          </w:tcPr>
          <w:p w14:paraId="0E0C359A" w14:textId="77777777" w:rsidR="001F2233" w:rsidRPr="003F6630" w:rsidRDefault="009921FD" w:rsidP="00BF7CD5">
            <w:pPr>
              <w:jc w:val="center"/>
              <w:rPr>
                <w:rFonts w:ascii="Wingdings" w:hAnsi="Wingdings"/>
                <w:b/>
                <w:bCs/>
                <w:color w:val="379EA5"/>
                <w:sz w:val="20"/>
                <w:szCs w:val="20"/>
              </w:rPr>
            </w:pPr>
            <w:r w:rsidRPr="003F6630">
              <w:rPr>
                <w:rFonts w:ascii="Wingdings" w:hAnsi="Wingdings"/>
                <w:b/>
                <w:bCs/>
                <w:color w:val="379EA5"/>
                <w:sz w:val="20"/>
                <w:szCs w:val="20"/>
              </w:rPr>
              <w:sym w:font="Wingdings" w:char="F06C"/>
            </w:r>
          </w:p>
        </w:tc>
        <w:tc>
          <w:tcPr>
            <w:tcW w:w="705" w:type="pct"/>
            <w:vAlign w:val="center"/>
          </w:tcPr>
          <w:p w14:paraId="057100A2" w14:textId="77777777" w:rsidR="001F2233" w:rsidRPr="003F6630" w:rsidRDefault="001F2233" w:rsidP="00BF7CD5">
            <w:pPr>
              <w:jc w:val="center"/>
              <w:rPr>
                <w:rFonts w:ascii="Wingdings" w:hAnsi="Wingdings"/>
                <w:b/>
                <w:bCs/>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5B31F65B" w14:textId="77777777" w:rsidR="001F2233" w:rsidRPr="003F6630" w:rsidRDefault="009921FD" w:rsidP="00BF7CD5">
            <w:pPr>
              <w:jc w:val="center"/>
              <w:rPr>
                <w:rFonts w:ascii="Wingdings" w:hAnsi="Wingdings"/>
                <w:b/>
                <w:bCs/>
                <w:color w:val="ED8553"/>
                <w:sz w:val="20"/>
                <w:szCs w:val="20"/>
              </w:rPr>
            </w:pPr>
            <w:r w:rsidRPr="003F6630">
              <w:rPr>
                <w:rFonts w:ascii="Wingdings" w:hAnsi="Wingdings"/>
                <w:b/>
                <w:bCs/>
                <w:color w:val="ED8553"/>
                <w:sz w:val="20"/>
                <w:szCs w:val="20"/>
              </w:rPr>
              <w:sym w:font="Wingdings" w:char="F06C"/>
            </w:r>
          </w:p>
        </w:tc>
        <w:tc>
          <w:tcPr>
            <w:tcW w:w="705" w:type="pct"/>
            <w:vAlign w:val="center"/>
          </w:tcPr>
          <w:p w14:paraId="26C4E10B" w14:textId="77777777" w:rsidR="001F2233" w:rsidRPr="003F6630" w:rsidRDefault="001F2233" w:rsidP="00BF7CD5">
            <w:pPr>
              <w:jc w:val="center"/>
              <w:rPr>
                <w:rFonts w:ascii="Wingdings" w:hAnsi="Wingdings"/>
                <w:b/>
                <w:bCs/>
                <w:color w:val="691E61"/>
                <w:sz w:val="20"/>
                <w:szCs w:val="20"/>
              </w:rPr>
            </w:pPr>
            <w:r w:rsidRPr="003F6630">
              <w:rPr>
                <w:rFonts w:ascii="Wingdings" w:hAnsi="Wingdings"/>
                <w:b/>
                <w:bCs/>
                <w:color w:val="691E61"/>
                <w:sz w:val="20"/>
                <w:szCs w:val="20"/>
              </w:rPr>
              <w:sym w:font="Wingdings" w:char="F06C"/>
            </w:r>
          </w:p>
        </w:tc>
      </w:tr>
      <w:tr w:rsidR="001F2233" w:rsidRPr="003F6630" w14:paraId="1BA87FF8" w14:textId="77777777" w:rsidTr="00C13BCA">
        <w:trPr>
          <w:trHeight w:hRule="exact" w:val="369"/>
        </w:trPr>
        <w:tc>
          <w:tcPr>
            <w:tcW w:w="2180" w:type="pct"/>
            <w:vAlign w:val="center"/>
          </w:tcPr>
          <w:p w14:paraId="3E28247F" w14:textId="7AD3763D" w:rsidR="001F2233" w:rsidRPr="003F6630" w:rsidRDefault="00872982" w:rsidP="00983430">
            <w:pPr>
              <w:spacing w:before="60" w:after="60"/>
              <w:rPr>
                <w:rFonts w:ascii="Arial" w:hAnsi="Arial"/>
                <w:b/>
                <w:bCs/>
                <w:sz w:val="20"/>
                <w:szCs w:val="20"/>
              </w:rPr>
            </w:pPr>
            <w:r w:rsidRPr="003F6630">
              <w:rPr>
                <w:rFonts w:ascii="Arial" w:hAnsi="Arial"/>
                <w:b/>
                <w:bCs/>
                <w:sz w:val="20"/>
                <w:szCs w:val="20"/>
              </w:rPr>
              <w:t xml:space="preserve">Department of Housing and Public Works </w:t>
            </w:r>
            <w:r w:rsidR="00757FAE">
              <w:rPr>
                <w:rFonts w:ascii="Arial" w:hAnsi="Arial"/>
                <w:b/>
                <w:bCs/>
                <w:sz w:val="20"/>
                <w:szCs w:val="20"/>
              </w:rPr>
              <w:t>((((DHPW)(DHPW)</w:t>
            </w:r>
            <w:r w:rsidRPr="003F6630">
              <w:rPr>
                <w:rFonts w:ascii="Arial" w:hAnsi="Arial"/>
                <w:b/>
                <w:bCs/>
                <w:sz w:val="20"/>
                <w:szCs w:val="20"/>
              </w:rPr>
              <w:t>(D</w:t>
            </w:r>
            <w:r w:rsidR="00FC0039" w:rsidRPr="003F6630">
              <w:rPr>
                <w:rFonts w:ascii="Arial" w:hAnsi="Arial"/>
                <w:b/>
                <w:bCs/>
                <w:sz w:val="20"/>
                <w:szCs w:val="20"/>
              </w:rPr>
              <w:t>HPW</w:t>
            </w:r>
            <w:r w:rsidRPr="003F6630">
              <w:rPr>
                <w:rFonts w:ascii="Arial" w:hAnsi="Arial"/>
                <w:b/>
                <w:bCs/>
                <w:sz w:val="20"/>
                <w:szCs w:val="20"/>
              </w:rPr>
              <w:t>)</w:t>
            </w:r>
          </w:p>
        </w:tc>
        <w:tc>
          <w:tcPr>
            <w:tcW w:w="705" w:type="pct"/>
            <w:vAlign w:val="center"/>
          </w:tcPr>
          <w:p w14:paraId="250CE2B9" w14:textId="77777777" w:rsidR="001F2233" w:rsidRPr="003F6630" w:rsidRDefault="00FC0039" w:rsidP="00BF7CD5">
            <w:pPr>
              <w:jc w:val="center"/>
              <w:rPr>
                <w:rFonts w:ascii="Wingdings" w:hAnsi="Wingdings"/>
                <w:b/>
                <w:bCs/>
                <w:color w:val="379EA5"/>
                <w:sz w:val="20"/>
                <w:szCs w:val="20"/>
              </w:rPr>
            </w:pPr>
            <w:r w:rsidRPr="003F6630">
              <w:rPr>
                <w:rFonts w:ascii="Wingdings" w:hAnsi="Wingdings"/>
                <w:b/>
                <w:bCs/>
                <w:color w:val="379EA5"/>
                <w:sz w:val="20"/>
                <w:szCs w:val="20"/>
              </w:rPr>
              <w:sym w:font="Wingdings" w:char="F06C"/>
            </w:r>
          </w:p>
        </w:tc>
        <w:tc>
          <w:tcPr>
            <w:tcW w:w="705" w:type="pct"/>
            <w:vAlign w:val="center"/>
          </w:tcPr>
          <w:p w14:paraId="7A628ABA" w14:textId="77777777" w:rsidR="001F2233" w:rsidRPr="003F6630" w:rsidRDefault="001F2233" w:rsidP="00BF7CD5">
            <w:pPr>
              <w:jc w:val="center"/>
              <w:rPr>
                <w:rFonts w:ascii="Wingdings" w:hAnsi="Wingdings"/>
                <w:b/>
                <w:bCs/>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3170F244" w14:textId="77777777" w:rsidR="001F2233" w:rsidRPr="003F6630" w:rsidRDefault="001F2233" w:rsidP="00BF7CD5">
            <w:pPr>
              <w:jc w:val="center"/>
              <w:rPr>
                <w:rFonts w:ascii="Wingdings" w:hAnsi="Wingdings"/>
                <w:b/>
                <w:bCs/>
                <w:color w:val="ED8553"/>
                <w:sz w:val="20"/>
                <w:szCs w:val="20"/>
              </w:rPr>
            </w:pPr>
          </w:p>
        </w:tc>
        <w:tc>
          <w:tcPr>
            <w:tcW w:w="705" w:type="pct"/>
            <w:vAlign w:val="center"/>
          </w:tcPr>
          <w:p w14:paraId="550AD55F" w14:textId="77777777" w:rsidR="001F2233" w:rsidRPr="003F6630" w:rsidRDefault="001F2233" w:rsidP="00BF7CD5">
            <w:pPr>
              <w:jc w:val="center"/>
              <w:rPr>
                <w:rFonts w:ascii="Wingdings" w:hAnsi="Wingdings"/>
                <w:b/>
                <w:bCs/>
                <w:color w:val="691E61"/>
                <w:sz w:val="20"/>
                <w:szCs w:val="20"/>
              </w:rPr>
            </w:pPr>
            <w:r w:rsidRPr="003F6630">
              <w:rPr>
                <w:rFonts w:ascii="Wingdings" w:hAnsi="Wingdings"/>
                <w:b/>
                <w:bCs/>
                <w:color w:val="691E61"/>
                <w:sz w:val="20"/>
                <w:szCs w:val="20"/>
              </w:rPr>
              <w:sym w:font="Wingdings" w:char="F06C"/>
            </w:r>
          </w:p>
        </w:tc>
      </w:tr>
      <w:tr w:rsidR="001F2233" w:rsidRPr="003F6630" w14:paraId="445421DF" w14:textId="77777777" w:rsidTr="00C13BCA">
        <w:trPr>
          <w:trHeight w:hRule="exact" w:val="345"/>
        </w:trPr>
        <w:tc>
          <w:tcPr>
            <w:tcW w:w="2180" w:type="pct"/>
            <w:vAlign w:val="center"/>
          </w:tcPr>
          <w:p w14:paraId="2A421A7F" w14:textId="77777777" w:rsidR="001F2233" w:rsidRPr="003F6630" w:rsidRDefault="008E35B6" w:rsidP="00983430">
            <w:pPr>
              <w:spacing w:before="60" w:after="60"/>
              <w:rPr>
                <w:rFonts w:ascii="Arial" w:hAnsi="Arial"/>
                <w:b/>
                <w:bCs/>
                <w:sz w:val="20"/>
                <w:szCs w:val="20"/>
              </w:rPr>
            </w:pPr>
            <w:r w:rsidRPr="003F6630">
              <w:rPr>
                <w:rFonts w:ascii="Arial" w:hAnsi="Arial"/>
                <w:b/>
                <w:bCs/>
                <w:sz w:val="20"/>
                <w:szCs w:val="20"/>
              </w:rPr>
              <w:t>Department of Justice (</w:t>
            </w:r>
            <w:proofErr w:type="spellStart"/>
            <w:r w:rsidR="00FC0039" w:rsidRPr="003F6630">
              <w:rPr>
                <w:rFonts w:ascii="Arial" w:hAnsi="Arial"/>
                <w:b/>
                <w:bCs/>
                <w:sz w:val="20"/>
                <w:szCs w:val="20"/>
              </w:rPr>
              <w:t>DoJ</w:t>
            </w:r>
            <w:proofErr w:type="spellEnd"/>
            <w:r w:rsidRPr="003F6630">
              <w:rPr>
                <w:rFonts w:ascii="Arial" w:hAnsi="Arial"/>
                <w:b/>
                <w:bCs/>
                <w:sz w:val="20"/>
                <w:szCs w:val="20"/>
              </w:rPr>
              <w:t>)</w:t>
            </w:r>
          </w:p>
        </w:tc>
        <w:tc>
          <w:tcPr>
            <w:tcW w:w="705" w:type="pct"/>
            <w:vAlign w:val="center"/>
          </w:tcPr>
          <w:p w14:paraId="44FF45F7" w14:textId="77777777" w:rsidR="001F2233" w:rsidRPr="003F6630" w:rsidRDefault="00FC0039" w:rsidP="00BF7CD5">
            <w:pPr>
              <w:jc w:val="center"/>
              <w:rPr>
                <w:rFonts w:ascii="Wingdings" w:hAnsi="Wingdings"/>
                <w:b/>
                <w:bCs/>
                <w:color w:val="379EA5"/>
                <w:sz w:val="20"/>
                <w:szCs w:val="20"/>
              </w:rPr>
            </w:pPr>
            <w:r w:rsidRPr="003F6630">
              <w:rPr>
                <w:rFonts w:ascii="Wingdings" w:hAnsi="Wingdings"/>
                <w:b/>
                <w:bCs/>
                <w:color w:val="379EA5"/>
                <w:sz w:val="20"/>
                <w:szCs w:val="20"/>
              </w:rPr>
              <w:sym w:font="Wingdings" w:char="F06C"/>
            </w:r>
          </w:p>
        </w:tc>
        <w:tc>
          <w:tcPr>
            <w:tcW w:w="705" w:type="pct"/>
            <w:vAlign w:val="center"/>
          </w:tcPr>
          <w:p w14:paraId="102BE7AE" w14:textId="77777777" w:rsidR="001F2233" w:rsidRPr="003F6630" w:rsidRDefault="001F2233" w:rsidP="00BF7CD5">
            <w:pPr>
              <w:jc w:val="center"/>
              <w:rPr>
                <w:rFonts w:ascii="Wingdings" w:hAnsi="Wingdings"/>
                <w:b/>
                <w:bCs/>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7F63B49B" w14:textId="77777777" w:rsidR="001F2233" w:rsidRPr="003F6630" w:rsidRDefault="001F2233" w:rsidP="00BF7CD5">
            <w:pPr>
              <w:jc w:val="center"/>
              <w:rPr>
                <w:rFonts w:ascii="Wingdings" w:hAnsi="Wingdings"/>
                <w:b/>
                <w:bCs/>
                <w:color w:val="ED8553"/>
                <w:sz w:val="20"/>
                <w:szCs w:val="20"/>
              </w:rPr>
            </w:pPr>
          </w:p>
        </w:tc>
        <w:tc>
          <w:tcPr>
            <w:tcW w:w="705" w:type="pct"/>
            <w:vAlign w:val="center"/>
          </w:tcPr>
          <w:p w14:paraId="2F149991" w14:textId="77777777" w:rsidR="001F2233" w:rsidRPr="003F6630" w:rsidRDefault="001F2233" w:rsidP="00BF7CD5">
            <w:pPr>
              <w:jc w:val="center"/>
              <w:rPr>
                <w:rFonts w:ascii="Wingdings" w:hAnsi="Wingdings"/>
                <w:b/>
                <w:bCs/>
                <w:color w:val="691E61"/>
                <w:sz w:val="20"/>
                <w:szCs w:val="20"/>
              </w:rPr>
            </w:pPr>
            <w:r w:rsidRPr="003F6630">
              <w:rPr>
                <w:rFonts w:ascii="Wingdings" w:hAnsi="Wingdings"/>
                <w:b/>
                <w:bCs/>
                <w:color w:val="691E61"/>
                <w:sz w:val="20"/>
                <w:szCs w:val="20"/>
              </w:rPr>
              <w:sym w:font="Wingdings" w:char="F06C"/>
            </w:r>
          </w:p>
        </w:tc>
      </w:tr>
      <w:tr w:rsidR="001F2233" w:rsidRPr="003F6630" w14:paraId="7115C661" w14:textId="77777777" w:rsidTr="003F6630">
        <w:trPr>
          <w:trHeight w:hRule="exact" w:val="711"/>
        </w:trPr>
        <w:tc>
          <w:tcPr>
            <w:tcW w:w="2180" w:type="pct"/>
            <w:vAlign w:val="center"/>
          </w:tcPr>
          <w:p w14:paraId="6AA44BD0" w14:textId="77777777" w:rsidR="001F2233" w:rsidRPr="003F6630" w:rsidRDefault="00A90A68" w:rsidP="00983430">
            <w:pPr>
              <w:spacing w:before="60" w:after="60"/>
              <w:rPr>
                <w:rFonts w:ascii="Arial" w:hAnsi="Arial"/>
                <w:b/>
                <w:bCs/>
                <w:sz w:val="20"/>
                <w:szCs w:val="20"/>
              </w:rPr>
            </w:pPr>
            <w:r w:rsidRPr="003F6630">
              <w:rPr>
                <w:rFonts w:ascii="Arial" w:hAnsi="Arial"/>
                <w:b/>
                <w:bCs/>
                <w:sz w:val="20"/>
                <w:szCs w:val="20"/>
              </w:rPr>
              <w:t>Department of Local Government, Water and Volunteers (</w:t>
            </w:r>
            <w:r w:rsidR="00FC0039" w:rsidRPr="003F6630">
              <w:rPr>
                <w:rFonts w:ascii="Arial" w:hAnsi="Arial"/>
                <w:b/>
                <w:bCs/>
                <w:sz w:val="20"/>
                <w:szCs w:val="20"/>
              </w:rPr>
              <w:t>DLGWV</w:t>
            </w:r>
            <w:r w:rsidRPr="003F6630">
              <w:rPr>
                <w:rFonts w:ascii="Arial" w:hAnsi="Arial"/>
                <w:b/>
                <w:bCs/>
                <w:sz w:val="20"/>
                <w:szCs w:val="20"/>
              </w:rPr>
              <w:t>)</w:t>
            </w:r>
          </w:p>
        </w:tc>
        <w:tc>
          <w:tcPr>
            <w:tcW w:w="705" w:type="pct"/>
            <w:vAlign w:val="center"/>
          </w:tcPr>
          <w:p w14:paraId="3BFD68AB" w14:textId="77777777" w:rsidR="001F2233" w:rsidRPr="003F6630" w:rsidRDefault="001F2233" w:rsidP="00BF7CD5">
            <w:pPr>
              <w:jc w:val="center"/>
              <w:rPr>
                <w:rFonts w:ascii="Wingdings" w:hAnsi="Wingdings"/>
                <w:b/>
                <w:bCs/>
                <w:color w:val="379EA5"/>
                <w:sz w:val="20"/>
                <w:szCs w:val="20"/>
              </w:rPr>
            </w:pPr>
          </w:p>
        </w:tc>
        <w:tc>
          <w:tcPr>
            <w:tcW w:w="705" w:type="pct"/>
            <w:vAlign w:val="center"/>
          </w:tcPr>
          <w:p w14:paraId="03A53680" w14:textId="77777777" w:rsidR="001F2233" w:rsidRPr="003F6630" w:rsidRDefault="001F2233" w:rsidP="00BF7CD5">
            <w:pPr>
              <w:jc w:val="center"/>
              <w:rPr>
                <w:rFonts w:ascii="Wingdings" w:hAnsi="Wingdings"/>
                <w:b/>
                <w:bCs/>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74287FD3" w14:textId="77777777" w:rsidR="001F2233" w:rsidRPr="003F6630" w:rsidRDefault="001F2233" w:rsidP="00BF7CD5">
            <w:pPr>
              <w:jc w:val="center"/>
              <w:rPr>
                <w:rFonts w:ascii="Wingdings" w:hAnsi="Wingdings"/>
                <w:b/>
                <w:bCs/>
                <w:color w:val="ED8553"/>
                <w:sz w:val="20"/>
                <w:szCs w:val="20"/>
              </w:rPr>
            </w:pPr>
          </w:p>
        </w:tc>
        <w:tc>
          <w:tcPr>
            <w:tcW w:w="705" w:type="pct"/>
            <w:vAlign w:val="center"/>
          </w:tcPr>
          <w:p w14:paraId="50BCABC0" w14:textId="77777777" w:rsidR="001F2233" w:rsidRPr="003F6630" w:rsidRDefault="001F2233" w:rsidP="00BF7CD5">
            <w:pPr>
              <w:jc w:val="center"/>
              <w:rPr>
                <w:rFonts w:ascii="Wingdings" w:hAnsi="Wingdings"/>
                <w:b/>
                <w:bCs/>
                <w:color w:val="691E61"/>
                <w:sz w:val="20"/>
                <w:szCs w:val="20"/>
              </w:rPr>
            </w:pPr>
            <w:r w:rsidRPr="003F6630">
              <w:rPr>
                <w:rFonts w:ascii="Wingdings" w:hAnsi="Wingdings"/>
                <w:b/>
                <w:bCs/>
                <w:color w:val="691E61"/>
                <w:sz w:val="20"/>
                <w:szCs w:val="20"/>
              </w:rPr>
              <w:sym w:font="Wingdings" w:char="F06C"/>
            </w:r>
          </w:p>
        </w:tc>
      </w:tr>
      <w:tr w:rsidR="001F2233" w:rsidRPr="003F6630" w14:paraId="4B3C63FF" w14:textId="77777777" w:rsidTr="003F6630">
        <w:trPr>
          <w:trHeight w:hRule="exact" w:val="962"/>
        </w:trPr>
        <w:tc>
          <w:tcPr>
            <w:tcW w:w="2180" w:type="pct"/>
            <w:vAlign w:val="center"/>
          </w:tcPr>
          <w:p w14:paraId="6B686B13" w14:textId="77777777" w:rsidR="001F2233" w:rsidRPr="003F6630" w:rsidRDefault="00245E71" w:rsidP="00983430">
            <w:pPr>
              <w:spacing w:before="60" w:after="60"/>
              <w:rPr>
                <w:rFonts w:ascii="Arial" w:hAnsi="Arial"/>
                <w:b/>
                <w:bCs/>
                <w:sz w:val="20"/>
                <w:szCs w:val="20"/>
              </w:rPr>
            </w:pPr>
            <w:r w:rsidRPr="003F6630">
              <w:rPr>
                <w:rFonts w:ascii="Arial" w:hAnsi="Arial"/>
                <w:b/>
                <w:bCs/>
                <w:sz w:val="20"/>
                <w:szCs w:val="20"/>
              </w:rPr>
              <w:t xml:space="preserve">Department of Natural Resources and Mines, Manufacturing and Regional and Rural Development </w:t>
            </w:r>
            <w:r w:rsidR="004C63B8" w:rsidRPr="003F6630">
              <w:rPr>
                <w:rFonts w:ascii="Arial" w:hAnsi="Arial"/>
                <w:b/>
                <w:bCs/>
                <w:sz w:val="20"/>
                <w:szCs w:val="20"/>
              </w:rPr>
              <w:t>(</w:t>
            </w:r>
            <w:r w:rsidR="00FC0039" w:rsidRPr="003F6630">
              <w:rPr>
                <w:rFonts w:ascii="Arial" w:hAnsi="Arial"/>
                <w:b/>
                <w:bCs/>
                <w:sz w:val="20"/>
                <w:szCs w:val="20"/>
              </w:rPr>
              <w:t>DNRMMRRD</w:t>
            </w:r>
            <w:r w:rsidR="004C63B8" w:rsidRPr="003F6630">
              <w:rPr>
                <w:rFonts w:ascii="Arial" w:hAnsi="Arial"/>
                <w:b/>
                <w:bCs/>
                <w:sz w:val="20"/>
                <w:szCs w:val="20"/>
              </w:rPr>
              <w:t>)</w:t>
            </w:r>
          </w:p>
        </w:tc>
        <w:tc>
          <w:tcPr>
            <w:tcW w:w="705" w:type="pct"/>
            <w:vAlign w:val="center"/>
          </w:tcPr>
          <w:p w14:paraId="1FE0B137" w14:textId="77777777" w:rsidR="001F2233" w:rsidRPr="003F6630" w:rsidRDefault="001F2233" w:rsidP="00BF7CD5">
            <w:pPr>
              <w:jc w:val="center"/>
              <w:rPr>
                <w:rFonts w:ascii="Wingdings" w:hAnsi="Wingdings"/>
                <w:b/>
                <w:bCs/>
                <w:color w:val="379EA5"/>
                <w:sz w:val="20"/>
                <w:szCs w:val="20"/>
              </w:rPr>
            </w:pPr>
          </w:p>
        </w:tc>
        <w:tc>
          <w:tcPr>
            <w:tcW w:w="705" w:type="pct"/>
            <w:vAlign w:val="center"/>
          </w:tcPr>
          <w:p w14:paraId="09FB4175" w14:textId="77777777" w:rsidR="001F2233" w:rsidRPr="003F6630" w:rsidRDefault="001F2233" w:rsidP="00BF7CD5">
            <w:pPr>
              <w:jc w:val="center"/>
              <w:rPr>
                <w:rFonts w:ascii="Wingdings" w:hAnsi="Wingdings"/>
                <w:b/>
                <w:bCs/>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070ADB02" w14:textId="77777777" w:rsidR="001F2233" w:rsidRPr="003F6630" w:rsidRDefault="009921FD" w:rsidP="00BF7CD5">
            <w:pPr>
              <w:jc w:val="center"/>
              <w:rPr>
                <w:rFonts w:ascii="Wingdings" w:hAnsi="Wingdings"/>
                <w:b/>
                <w:bCs/>
                <w:color w:val="ED8553"/>
                <w:sz w:val="20"/>
                <w:szCs w:val="20"/>
              </w:rPr>
            </w:pPr>
            <w:r w:rsidRPr="003F6630">
              <w:rPr>
                <w:rFonts w:ascii="Wingdings" w:hAnsi="Wingdings"/>
                <w:b/>
                <w:bCs/>
                <w:color w:val="ED8553"/>
                <w:sz w:val="20"/>
                <w:szCs w:val="20"/>
              </w:rPr>
              <w:sym w:font="Wingdings" w:char="F06C"/>
            </w:r>
          </w:p>
        </w:tc>
        <w:tc>
          <w:tcPr>
            <w:tcW w:w="705" w:type="pct"/>
            <w:vAlign w:val="center"/>
          </w:tcPr>
          <w:p w14:paraId="4680835D" w14:textId="77777777" w:rsidR="001F2233" w:rsidRPr="003F6630" w:rsidRDefault="001F2233" w:rsidP="00BF7CD5">
            <w:pPr>
              <w:jc w:val="center"/>
              <w:rPr>
                <w:rFonts w:ascii="Wingdings" w:hAnsi="Wingdings"/>
                <w:b/>
                <w:bCs/>
                <w:color w:val="691E61"/>
                <w:sz w:val="20"/>
                <w:szCs w:val="20"/>
              </w:rPr>
            </w:pPr>
            <w:r w:rsidRPr="003F6630">
              <w:rPr>
                <w:rFonts w:ascii="Wingdings" w:hAnsi="Wingdings"/>
                <w:b/>
                <w:bCs/>
                <w:color w:val="691E61"/>
                <w:sz w:val="20"/>
                <w:szCs w:val="20"/>
              </w:rPr>
              <w:sym w:font="Wingdings" w:char="F06C"/>
            </w:r>
          </w:p>
        </w:tc>
      </w:tr>
      <w:tr w:rsidR="001F2233" w:rsidRPr="003F6630" w14:paraId="69003ED2" w14:textId="77777777" w:rsidTr="00C13BCA">
        <w:trPr>
          <w:trHeight w:hRule="exact" w:val="369"/>
        </w:trPr>
        <w:tc>
          <w:tcPr>
            <w:tcW w:w="2180" w:type="pct"/>
            <w:vAlign w:val="center"/>
          </w:tcPr>
          <w:p w14:paraId="66D505FA" w14:textId="77777777" w:rsidR="001F2233" w:rsidRPr="003F6630" w:rsidRDefault="007C7502" w:rsidP="00983430">
            <w:pPr>
              <w:spacing w:before="60" w:after="60"/>
              <w:rPr>
                <w:rFonts w:ascii="Arial" w:hAnsi="Arial"/>
                <w:b/>
                <w:bCs/>
                <w:sz w:val="20"/>
                <w:szCs w:val="20"/>
              </w:rPr>
            </w:pPr>
            <w:r w:rsidRPr="003F6630">
              <w:rPr>
                <w:rFonts w:ascii="Arial" w:hAnsi="Arial"/>
                <w:b/>
                <w:bCs/>
                <w:sz w:val="20"/>
                <w:szCs w:val="20"/>
              </w:rPr>
              <w:t>Queensland Police Service (</w:t>
            </w:r>
            <w:r w:rsidR="00FC0039" w:rsidRPr="003F6630">
              <w:rPr>
                <w:rFonts w:ascii="Arial" w:hAnsi="Arial"/>
                <w:b/>
                <w:bCs/>
                <w:sz w:val="20"/>
                <w:szCs w:val="20"/>
              </w:rPr>
              <w:t>QPS</w:t>
            </w:r>
            <w:r w:rsidRPr="003F6630">
              <w:rPr>
                <w:rFonts w:ascii="Arial" w:hAnsi="Arial"/>
                <w:b/>
                <w:bCs/>
                <w:sz w:val="20"/>
                <w:szCs w:val="20"/>
              </w:rPr>
              <w:t>)</w:t>
            </w:r>
          </w:p>
        </w:tc>
        <w:tc>
          <w:tcPr>
            <w:tcW w:w="705" w:type="pct"/>
            <w:vAlign w:val="center"/>
          </w:tcPr>
          <w:p w14:paraId="15532795" w14:textId="77777777" w:rsidR="001F2233" w:rsidRPr="003F6630" w:rsidRDefault="009921FD" w:rsidP="00BF7CD5">
            <w:pPr>
              <w:jc w:val="center"/>
              <w:rPr>
                <w:rFonts w:ascii="Wingdings" w:hAnsi="Wingdings"/>
                <w:b/>
                <w:bCs/>
                <w:color w:val="379EA5"/>
                <w:sz w:val="20"/>
                <w:szCs w:val="20"/>
              </w:rPr>
            </w:pPr>
            <w:r w:rsidRPr="003F6630">
              <w:rPr>
                <w:rFonts w:ascii="Wingdings" w:hAnsi="Wingdings"/>
                <w:b/>
                <w:bCs/>
                <w:color w:val="379EA5"/>
                <w:sz w:val="20"/>
                <w:szCs w:val="20"/>
              </w:rPr>
              <w:sym w:font="Wingdings" w:char="F06C"/>
            </w:r>
          </w:p>
        </w:tc>
        <w:tc>
          <w:tcPr>
            <w:tcW w:w="705" w:type="pct"/>
            <w:vAlign w:val="center"/>
          </w:tcPr>
          <w:p w14:paraId="322237DA" w14:textId="77777777" w:rsidR="001F2233" w:rsidRPr="003F6630" w:rsidRDefault="001F2233" w:rsidP="00BF7CD5">
            <w:pPr>
              <w:jc w:val="center"/>
              <w:rPr>
                <w:rFonts w:ascii="Wingdings" w:hAnsi="Wingdings"/>
                <w:b/>
                <w:bCs/>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65C56CED" w14:textId="77777777" w:rsidR="001F2233" w:rsidRPr="003F6630" w:rsidRDefault="001F2233" w:rsidP="00BF7CD5">
            <w:pPr>
              <w:jc w:val="center"/>
              <w:rPr>
                <w:rFonts w:ascii="Wingdings" w:hAnsi="Wingdings"/>
                <w:b/>
                <w:bCs/>
                <w:color w:val="ED8553"/>
                <w:sz w:val="20"/>
                <w:szCs w:val="20"/>
              </w:rPr>
            </w:pPr>
          </w:p>
        </w:tc>
        <w:tc>
          <w:tcPr>
            <w:tcW w:w="705" w:type="pct"/>
            <w:vAlign w:val="center"/>
          </w:tcPr>
          <w:p w14:paraId="61F0ABEB" w14:textId="77777777" w:rsidR="001F2233" w:rsidRPr="003F6630" w:rsidRDefault="001F2233" w:rsidP="00BF7CD5">
            <w:pPr>
              <w:jc w:val="center"/>
              <w:rPr>
                <w:rFonts w:ascii="Wingdings" w:hAnsi="Wingdings"/>
                <w:b/>
                <w:bCs/>
                <w:color w:val="691E61"/>
                <w:sz w:val="20"/>
                <w:szCs w:val="20"/>
              </w:rPr>
            </w:pPr>
            <w:r w:rsidRPr="003F6630">
              <w:rPr>
                <w:rFonts w:ascii="Wingdings" w:hAnsi="Wingdings"/>
                <w:b/>
                <w:bCs/>
                <w:color w:val="691E61"/>
                <w:sz w:val="20"/>
                <w:szCs w:val="20"/>
              </w:rPr>
              <w:sym w:font="Wingdings" w:char="F06C"/>
            </w:r>
          </w:p>
        </w:tc>
      </w:tr>
      <w:tr w:rsidR="001F2233" w:rsidRPr="003F6630" w14:paraId="57266587" w14:textId="77777777" w:rsidTr="00C13BCA">
        <w:trPr>
          <w:trHeight w:hRule="exact" w:val="369"/>
        </w:trPr>
        <w:tc>
          <w:tcPr>
            <w:tcW w:w="2180" w:type="pct"/>
            <w:vAlign w:val="center"/>
          </w:tcPr>
          <w:p w14:paraId="4976E012" w14:textId="77777777" w:rsidR="001F2233" w:rsidRPr="003F6630" w:rsidRDefault="00D93FD8" w:rsidP="00983430">
            <w:pPr>
              <w:spacing w:before="60" w:after="60"/>
              <w:rPr>
                <w:rFonts w:ascii="Arial" w:hAnsi="Arial"/>
                <w:b/>
                <w:bCs/>
                <w:sz w:val="20"/>
                <w:szCs w:val="20"/>
              </w:rPr>
            </w:pPr>
            <w:r w:rsidRPr="003F6630">
              <w:rPr>
                <w:rFonts w:ascii="Arial" w:hAnsi="Arial"/>
                <w:b/>
                <w:bCs/>
                <w:sz w:val="20"/>
                <w:szCs w:val="20"/>
              </w:rPr>
              <w:t>Department of Primary Industries (</w:t>
            </w:r>
            <w:r w:rsidR="00FC0039" w:rsidRPr="003F6630">
              <w:rPr>
                <w:rFonts w:ascii="Arial" w:hAnsi="Arial"/>
                <w:b/>
                <w:bCs/>
                <w:sz w:val="20"/>
                <w:szCs w:val="20"/>
              </w:rPr>
              <w:t>DPI</w:t>
            </w:r>
            <w:r w:rsidRPr="003F6630">
              <w:rPr>
                <w:rFonts w:ascii="Arial" w:hAnsi="Arial"/>
                <w:b/>
                <w:bCs/>
                <w:sz w:val="20"/>
                <w:szCs w:val="20"/>
              </w:rPr>
              <w:t>)</w:t>
            </w:r>
          </w:p>
        </w:tc>
        <w:tc>
          <w:tcPr>
            <w:tcW w:w="705" w:type="pct"/>
            <w:vAlign w:val="center"/>
          </w:tcPr>
          <w:p w14:paraId="707EEDF3" w14:textId="77777777" w:rsidR="001F2233" w:rsidRPr="003F6630" w:rsidRDefault="001F2233" w:rsidP="00BF7CD5">
            <w:pPr>
              <w:jc w:val="center"/>
              <w:rPr>
                <w:rFonts w:ascii="Wingdings" w:hAnsi="Wingdings"/>
                <w:b/>
                <w:bCs/>
                <w:color w:val="379EA5"/>
                <w:sz w:val="20"/>
                <w:szCs w:val="20"/>
              </w:rPr>
            </w:pPr>
          </w:p>
        </w:tc>
        <w:tc>
          <w:tcPr>
            <w:tcW w:w="705" w:type="pct"/>
            <w:vAlign w:val="center"/>
          </w:tcPr>
          <w:p w14:paraId="507B7432" w14:textId="77777777" w:rsidR="001F2233" w:rsidRPr="003F6630" w:rsidRDefault="001F2233" w:rsidP="00BF7CD5">
            <w:pPr>
              <w:jc w:val="center"/>
              <w:rPr>
                <w:rFonts w:ascii="Wingdings" w:hAnsi="Wingdings"/>
                <w:b/>
                <w:bCs/>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2B2571D0" w14:textId="77777777" w:rsidR="001F2233" w:rsidRPr="003F6630" w:rsidRDefault="001F2233" w:rsidP="00BF7CD5">
            <w:pPr>
              <w:jc w:val="center"/>
              <w:rPr>
                <w:rFonts w:ascii="Wingdings" w:hAnsi="Wingdings"/>
                <w:b/>
                <w:bCs/>
                <w:color w:val="ED8553"/>
                <w:sz w:val="20"/>
                <w:szCs w:val="20"/>
              </w:rPr>
            </w:pPr>
          </w:p>
        </w:tc>
        <w:tc>
          <w:tcPr>
            <w:tcW w:w="705" w:type="pct"/>
            <w:vAlign w:val="center"/>
          </w:tcPr>
          <w:p w14:paraId="568C159F" w14:textId="77777777" w:rsidR="001F2233" w:rsidRPr="003F6630" w:rsidRDefault="001F2233" w:rsidP="00BF7CD5">
            <w:pPr>
              <w:jc w:val="center"/>
              <w:rPr>
                <w:rFonts w:ascii="Wingdings" w:hAnsi="Wingdings"/>
                <w:b/>
                <w:bCs/>
                <w:color w:val="691E61"/>
                <w:sz w:val="20"/>
                <w:szCs w:val="20"/>
              </w:rPr>
            </w:pPr>
            <w:r w:rsidRPr="003F6630">
              <w:rPr>
                <w:rFonts w:ascii="Wingdings" w:hAnsi="Wingdings"/>
                <w:b/>
                <w:bCs/>
                <w:color w:val="691E61"/>
                <w:sz w:val="20"/>
                <w:szCs w:val="20"/>
              </w:rPr>
              <w:sym w:font="Wingdings" w:char="F06C"/>
            </w:r>
          </w:p>
        </w:tc>
      </w:tr>
      <w:tr w:rsidR="001F2233" w:rsidRPr="003F6630" w14:paraId="01FC4D0D" w14:textId="77777777" w:rsidTr="00C13BCA">
        <w:trPr>
          <w:trHeight w:hRule="exact" w:val="369"/>
        </w:trPr>
        <w:tc>
          <w:tcPr>
            <w:tcW w:w="2180" w:type="pct"/>
            <w:vAlign w:val="center"/>
          </w:tcPr>
          <w:p w14:paraId="7711D40A" w14:textId="77777777" w:rsidR="001F2233" w:rsidRPr="003F6630" w:rsidRDefault="004B5CAC" w:rsidP="00983430">
            <w:pPr>
              <w:spacing w:before="60" w:after="60"/>
              <w:rPr>
                <w:rFonts w:ascii="Arial" w:hAnsi="Arial"/>
                <w:b/>
                <w:bCs/>
                <w:sz w:val="20"/>
                <w:szCs w:val="20"/>
              </w:rPr>
            </w:pPr>
            <w:r w:rsidRPr="003F6630">
              <w:rPr>
                <w:rFonts w:ascii="Arial" w:hAnsi="Arial"/>
                <w:b/>
                <w:bCs/>
                <w:sz w:val="20"/>
                <w:szCs w:val="20"/>
              </w:rPr>
              <w:t>Public Sector Commission (</w:t>
            </w:r>
            <w:r w:rsidR="00FC0039" w:rsidRPr="003F6630">
              <w:rPr>
                <w:rFonts w:ascii="Arial" w:hAnsi="Arial"/>
                <w:b/>
                <w:bCs/>
                <w:sz w:val="20"/>
                <w:szCs w:val="20"/>
              </w:rPr>
              <w:t>PSC</w:t>
            </w:r>
            <w:r w:rsidRPr="003F6630">
              <w:rPr>
                <w:rFonts w:ascii="Arial" w:hAnsi="Arial"/>
                <w:b/>
                <w:bCs/>
                <w:sz w:val="20"/>
                <w:szCs w:val="20"/>
              </w:rPr>
              <w:t>)</w:t>
            </w:r>
          </w:p>
        </w:tc>
        <w:tc>
          <w:tcPr>
            <w:tcW w:w="705" w:type="pct"/>
            <w:vAlign w:val="center"/>
          </w:tcPr>
          <w:p w14:paraId="02008856" w14:textId="77777777" w:rsidR="001F2233" w:rsidRPr="003F6630" w:rsidRDefault="00FC0039" w:rsidP="00BF7CD5">
            <w:pPr>
              <w:jc w:val="center"/>
              <w:rPr>
                <w:rFonts w:ascii="Wingdings" w:hAnsi="Wingdings"/>
                <w:b/>
                <w:bCs/>
                <w:color w:val="379EA5"/>
                <w:sz w:val="20"/>
                <w:szCs w:val="20"/>
              </w:rPr>
            </w:pPr>
            <w:r w:rsidRPr="003F6630">
              <w:rPr>
                <w:rFonts w:ascii="Wingdings" w:hAnsi="Wingdings"/>
                <w:b/>
                <w:bCs/>
                <w:color w:val="379EA5"/>
                <w:sz w:val="20"/>
                <w:szCs w:val="20"/>
              </w:rPr>
              <w:sym w:font="Wingdings" w:char="F06C"/>
            </w:r>
          </w:p>
        </w:tc>
        <w:tc>
          <w:tcPr>
            <w:tcW w:w="705" w:type="pct"/>
            <w:vAlign w:val="center"/>
          </w:tcPr>
          <w:p w14:paraId="697AF2BA" w14:textId="77777777" w:rsidR="001F2233" w:rsidRPr="003F6630" w:rsidRDefault="001F2233" w:rsidP="00BF7CD5">
            <w:pPr>
              <w:jc w:val="center"/>
              <w:rPr>
                <w:rFonts w:ascii="Wingdings" w:hAnsi="Wingdings"/>
                <w:b/>
                <w:bCs/>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2CBEBF36" w14:textId="77777777" w:rsidR="001F2233" w:rsidRPr="003F6630" w:rsidRDefault="001F2233" w:rsidP="00BF7CD5">
            <w:pPr>
              <w:jc w:val="center"/>
              <w:rPr>
                <w:rFonts w:ascii="Wingdings" w:hAnsi="Wingdings"/>
                <w:b/>
                <w:bCs/>
                <w:color w:val="ED8553"/>
                <w:sz w:val="20"/>
                <w:szCs w:val="20"/>
              </w:rPr>
            </w:pPr>
          </w:p>
        </w:tc>
        <w:tc>
          <w:tcPr>
            <w:tcW w:w="705" w:type="pct"/>
            <w:vAlign w:val="center"/>
          </w:tcPr>
          <w:p w14:paraId="2CBA4BD7" w14:textId="77777777" w:rsidR="001F2233" w:rsidRPr="003F6630" w:rsidRDefault="001F2233" w:rsidP="00BF7CD5">
            <w:pPr>
              <w:jc w:val="center"/>
              <w:rPr>
                <w:rFonts w:ascii="Wingdings" w:hAnsi="Wingdings"/>
                <w:b/>
                <w:bCs/>
                <w:color w:val="691E61"/>
                <w:sz w:val="20"/>
                <w:szCs w:val="20"/>
              </w:rPr>
            </w:pPr>
            <w:r w:rsidRPr="003F6630">
              <w:rPr>
                <w:rFonts w:ascii="Wingdings" w:hAnsi="Wingdings"/>
                <w:b/>
                <w:bCs/>
                <w:color w:val="691E61"/>
                <w:sz w:val="20"/>
                <w:szCs w:val="20"/>
              </w:rPr>
              <w:sym w:font="Wingdings" w:char="F06C"/>
            </w:r>
          </w:p>
        </w:tc>
      </w:tr>
      <w:tr w:rsidR="001F2233" w:rsidRPr="003F6630" w14:paraId="3942B619" w14:textId="77777777" w:rsidTr="00B75D0E">
        <w:trPr>
          <w:trHeight w:hRule="exact" w:val="625"/>
        </w:trPr>
        <w:tc>
          <w:tcPr>
            <w:tcW w:w="2180" w:type="pct"/>
            <w:vAlign w:val="center"/>
          </w:tcPr>
          <w:p w14:paraId="4724AC50" w14:textId="77777777" w:rsidR="001F2233" w:rsidRPr="003F6630" w:rsidRDefault="00D241B4" w:rsidP="00983430">
            <w:pPr>
              <w:spacing w:before="60" w:after="60"/>
              <w:rPr>
                <w:rFonts w:ascii="Arial" w:hAnsi="Arial"/>
                <w:b/>
                <w:bCs/>
                <w:sz w:val="20"/>
                <w:szCs w:val="20"/>
              </w:rPr>
            </w:pPr>
            <w:r w:rsidRPr="003F6630">
              <w:rPr>
                <w:rFonts w:ascii="Arial" w:hAnsi="Arial"/>
                <w:b/>
                <w:bCs/>
                <w:sz w:val="20"/>
                <w:szCs w:val="20"/>
              </w:rPr>
              <w:t>Department of Sport, Racing and Olympic and Paralympic Games (</w:t>
            </w:r>
            <w:r w:rsidR="00FC0039" w:rsidRPr="003F6630">
              <w:rPr>
                <w:rFonts w:ascii="Arial" w:hAnsi="Arial"/>
                <w:b/>
                <w:bCs/>
                <w:sz w:val="20"/>
                <w:szCs w:val="20"/>
              </w:rPr>
              <w:t>DSROPG</w:t>
            </w:r>
            <w:r w:rsidRPr="003F6630">
              <w:rPr>
                <w:rFonts w:ascii="Arial" w:hAnsi="Arial"/>
                <w:b/>
                <w:bCs/>
                <w:sz w:val="20"/>
                <w:szCs w:val="20"/>
              </w:rPr>
              <w:t>)</w:t>
            </w:r>
          </w:p>
        </w:tc>
        <w:tc>
          <w:tcPr>
            <w:tcW w:w="705" w:type="pct"/>
            <w:vAlign w:val="center"/>
          </w:tcPr>
          <w:p w14:paraId="64F34291" w14:textId="77777777" w:rsidR="001F2233" w:rsidRPr="003F6630" w:rsidRDefault="001F2233" w:rsidP="00BF7CD5">
            <w:pPr>
              <w:jc w:val="center"/>
              <w:rPr>
                <w:rFonts w:ascii="Wingdings" w:hAnsi="Wingdings"/>
                <w:b/>
                <w:bCs/>
                <w:color w:val="379EA5"/>
                <w:sz w:val="20"/>
                <w:szCs w:val="20"/>
              </w:rPr>
            </w:pPr>
          </w:p>
        </w:tc>
        <w:tc>
          <w:tcPr>
            <w:tcW w:w="705" w:type="pct"/>
            <w:vAlign w:val="center"/>
          </w:tcPr>
          <w:p w14:paraId="634DACC9" w14:textId="77777777" w:rsidR="001F2233" w:rsidRPr="003F6630" w:rsidRDefault="001F2233" w:rsidP="00BF7CD5">
            <w:pPr>
              <w:jc w:val="center"/>
              <w:rPr>
                <w:rFonts w:ascii="Wingdings" w:hAnsi="Wingdings"/>
                <w:b/>
                <w:bCs/>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35EA7B61" w14:textId="77777777" w:rsidR="001F2233" w:rsidRPr="003F6630" w:rsidRDefault="001F2233" w:rsidP="00BF7CD5">
            <w:pPr>
              <w:jc w:val="center"/>
              <w:rPr>
                <w:rFonts w:ascii="Wingdings" w:hAnsi="Wingdings"/>
                <w:b/>
                <w:bCs/>
                <w:color w:val="ED8553"/>
                <w:sz w:val="20"/>
                <w:szCs w:val="20"/>
              </w:rPr>
            </w:pPr>
          </w:p>
        </w:tc>
        <w:tc>
          <w:tcPr>
            <w:tcW w:w="705" w:type="pct"/>
            <w:vAlign w:val="center"/>
          </w:tcPr>
          <w:p w14:paraId="7F8C0257" w14:textId="77777777" w:rsidR="001F2233" w:rsidRPr="003F6630" w:rsidRDefault="001F2233" w:rsidP="00BF7CD5">
            <w:pPr>
              <w:jc w:val="center"/>
              <w:rPr>
                <w:rFonts w:ascii="Wingdings" w:hAnsi="Wingdings"/>
                <w:b/>
                <w:bCs/>
                <w:color w:val="691E61"/>
                <w:sz w:val="20"/>
                <w:szCs w:val="20"/>
              </w:rPr>
            </w:pPr>
            <w:r w:rsidRPr="003F6630">
              <w:rPr>
                <w:rFonts w:ascii="Wingdings" w:hAnsi="Wingdings"/>
                <w:b/>
                <w:bCs/>
                <w:color w:val="691E61"/>
                <w:sz w:val="20"/>
                <w:szCs w:val="20"/>
              </w:rPr>
              <w:sym w:font="Wingdings" w:char="F06C"/>
            </w:r>
          </w:p>
        </w:tc>
      </w:tr>
      <w:tr w:rsidR="001F2233" w:rsidRPr="003F6630" w14:paraId="3525FB32" w14:textId="77777777" w:rsidTr="003F6630">
        <w:trPr>
          <w:trHeight w:hRule="exact" w:val="676"/>
        </w:trPr>
        <w:tc>
          <w:tcPr>
            <w:tcW w:w="2180" w:type="pct"/>
            <w:vAlign w:val="center"/>
          </w:tcPr>
          <w:p w14:paraId="4F50A589" w14:textId="77777777" w:rsidR="001F2233" w:rsidRPr="003F6630" w:rsidRDefault="008454AA" w:rsidP="00983430">
            <w:pPr>
              <w:spacing w:before="60" w:after="60"/>
              <w:rPr>
                <w:rFonts w:ascii="Arial" w:hAnsi="Arial"/>
                <w:b/>
                <w:bCs/>
                <w:sz w:val="20"/>
                <w:szCs w:val="20"/>
              </w:rPr>
            </w:pPr>
            <w:r w:rsidRPr="003F6630">
              <w:rPr>
                <w:rFonts w:ascii="Arial" w:hAnsi="Arial"/>
                <w:b/>
                <w:bCs/>
                <w:sz w:val="20"/>
                <w:szCs w:val="20"/>
              </w:rPr>
              <w:t>Department of State Development, Infrastructure and Planning (</w:t>
            </w:r>
            <w:r w:rsidR="00FC0039" w:rsidRPr="003F6630">
              <w:rPr>
                <w:rFonts w:ascii="Arial" w:hAnsi="Arial"/>
                <w:b/>
                <w:bCs/>
                <w:sz w:val="20"/>
                <w:szCs w:val="20"/>
              </w:rPr>
              <w:t>DSDIP</w:t>
            </w:r>
            <w:r w:rsidRPr="003F6630">
              <w:rPr>
                <w:rFonts w:ascii="Arial" w:hAnsi="Arial"/>
                <w:b/>
                <w:bCs/>
                <w:sz w:val="20"/>
                <w:szCs w:val="20"/>
              </w:rPr>
              <w:t>)</w:t>
            </w:r>
          </w:p>
        </w:tc>
        <w:tc>
          <w:tcPr>
            <w:tcW w:w="705" w:type="pct"/>
            <w:vAlign w:val="center"/>
          </w:tcPr>
          <w:p w14:paraId="63EB6B68" w14:textId="77777777" w:rsidR="001F2233" w:rsidRPr="003F6630" w:rsidRDefault="001F2233" w:rsidP="00BF7CD5">
            <w:pPr>
              <w:jc w:val="center"/>
              <w:rPr>
                <w:rFonts w:ascii="Wingdings" w:hAnsi="Wingdings"/>
                <w:b/>
                <w:bCs/>
                <w:color w:val="379EA5"/>
                <w:sz w:val="20"/>
                <w:szCs w:val="20"/>
              </w:rPr>
            </w:pPr>
          </w:p>
        </w:tc>
        <w:tc>
          <w:tcPr>
            <w:tcW w:w="705" w:type="pct"/>
            <w:vAlign w:val="center"/>
          </w:tcPr>
          <w:p w14:paraId="59847189" w14:textId="77777777" w:rsidR="001F2233" w:rsidRPr="003F6630" w:rsidRDefault="001F2233" w:rsidP="00BF7CD5">
            <w:pPr>
              <w:jc w:val="center"/>
              <w:rPr>
                <w:rFonts w:ascii="Wingdings" w:hAnsi="Wingdings"/>
                <w:b/>
                <w:bCs/>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49047F2B" w14:textId="77777777" w:rsidR="001F2233" w:rsidRPr="003F6630" w:rsidRDefault="001F2233" w:rsidP="00BF7CD5">
            <w:pPr>
              <w:jc w:val="center"/>
              <w:rPr>
                <w:rFonts w:ascii="Wingdings" w:hAnsi="Wingdings"/>
                <w:b/>
                <w:bCs/>
                <w:color w:val="ED8553"/>
                <w:sz w:val="20"/>
                <w:szCs w:val="20"/>
              </w:rPr>
            </w:pPr>
          </w:p>
        </w:tc>
        <w:tc>
          <w:tcPr>
            <w:tcW w:w="705" w:type="pct"/>
            <w:vAlign w:val="center"/>
          </w:tcPr>
          <w:p w14:paraId="4C8F6BC3" w14:textId="77777777" w:rsidR="001F2233" w:rsidRPr="003F6630" w:rsidRDefault="001F2233" w:rsidP="00BF7CD5">
            <w:pPr>
              <w:jc w:val="center"/>
              <w:rPr>
                <w:rFonts w:ascii="Wingdings" w:hAnsi="Wingdings"/>
                <w:b/>
                <w:bCs/>
                <w:color w:val="691E61"/>
                <w:sz w:val="20"/>
                <w:szCs w:val="20"/>
              </w:rPr>
            </w:pPr>
            <w:r w:rsidRPr="003F6630">
              <w:rPr>
                <w:rFonts w:ascii="Wingdings" w:hAnsi="Wingdings"/>
                <w:b/>
                <w:bCs/>
                <w:color w:val="691E61"/>
                <w:sz w:val="20"/>
                <w:szCs w:val="20"/>
              </w:rPr>
              <w:sym w:font="Wingdings" w:char="F06C"/>
            </w:r>
          </w:p>
        </w:tc>
      </w:tr>
      <w:tr w:rsidR="00FC0039" w:rsidRPr="003F6630" w14:paraId="65DCD6D2" w14:textId="77777777" w:rsidTr="00C13BCA">
        <w:trPr>
          <w:trHeight w:hRule="exact" w:val="369"/>
        </w:trPr>
        <w:tc>
          <w:tcPr>
            <w:tcW w:w="2180" w:type="pct"/>
            <w:vAlign w:val="center"/>
          </w:tcPr>
          <w:p w14:paraId="0D228176" w14:textId="77777777" w:rsidR="00FC0039" w:rsidRPr="003F6630" w:rsidRDefault="003459B4" w:rsidP="00983430">
            <w:pPr>
              <w:spacing w:before="60" w:after="60"/>
              <w:rPr>
                <w:rFonts w:ascii="Arial" w:hAnsi="Arial"/>
                <w:b/>
                <w:bCs/>
                <w:sz w:val="20"/>
                <w:szCs w:val="20"/>
              </w:rPr>
            </w:pPr>
            <w:r w:rsidRPr="003F6630">
              <w:rPr>
                <w:rFonts w:ascii="Arial" w:hAnsi="Arial"/>
                <w:b/>
                <w:bCs/>
                <w:sz w:val="20"/>
                <w:szCs w:val="20"/>
              </w:rPr>
              <w:t>Department of Trade, Employment and Training (</w:t>
            </w:r>
            <w:r w:rsidR="00FC0039" w:rsidRPr="003F6630">
              <w:rPr>
                <w:rFonts w:ascii="Arial" w:hAnsi="Arial"/>
                <w:b/>
                <w:bCs/>
                <w:sz w:val="20"/>
                <w:szCs w:val="20"/>
              </w:rPr>
              <w:t>DTET</w:t>
            </w:r>
            <w:r w:rsidRPr="003F6630">
              <w:rPr>
                <w:rFonts w:ascii="Arial" w:hAnsi="Arial"/>
                <w:b/>
                <w:bCs/>
                <w:sz w:val="20"/>
                <w:szCs w:val="20"/>
              </w:rPr>
              <w:t>)</w:t>
            </w:r>
          </w:p>
        </w:tc>
        <w:tc>
          <w:tcPr>
            <w:tcW w:w="705" w:type="pct"/>
            <w:vAlign w:val="center"/>
          </w:tcPr>
          <w:p w14:paraId="7FCD4C9A" w14:textId="77777777" w:rsidR="00FC0039" w:rsidRPr="003F6630" w:rsidRDefault="00FC0039" w:rsidP="00FC0039">
            <w:pPr>
              <w:jc w:val="center"/>
              <w:rPr>
                <w:rFonts w:ascii="Wingdings" w:hAnsi="Wingdings"/>
                <w:b/>
                <w:bCs/>
                <w:color w:val="379EA5"/>
                <w:sz w:val="20"/>
                <w:szCs w:val="20"/>
              </w:rPr>
            </w:pPr>
            <w:r w:rsidRPr="003F6630">
              <w:rPr>
                <w:rFonts w:ascii="Wingdings" w:hAnsi="Wingdings"/>
                <w:b/>
                <w:bCs/>
                <w:color w:val="379EA5"/>
                <w:sz w:val="20"/>
                <w:szCs w:val="20"/>
              </w:rPr>
              <w:sym w:font="Wingdings" w:char="F06C"/>
            </w:r>
          </w:p>
        </w:tc>
        <w:tc>
          <w:tcPr>
            <w:tcW w:w="705" w:type="pct"/>
          </w:tcPr>
          <w:p w14:paraId="0200ADC1" w14:textId="77777777" w:rsidR="00FC0039" w:rsidRPr="003F6630" w:rsidRDefault="00FC0039" w:rsidP="00FC0039">
            <w:pPr>
              <w:jc w:val="center"/>
              <w:rPr>
                <w:rFonts w:ascii="Wingdings" w:hAnsi="Wingdings"/>
                <w:b/>
                <w:bCs/>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6F1677B0" w14:textId="77777777" w:rsidR="00FC0039" w:rsidRPr="003F6630" w:rsidRDefault="009921FD" w:rsidP="00FC0039">
            <w:pPr>
              <w:jc w:val="center"/>
              <w:rPr>
                <w:rFonts w:ascii="Wingdings" w:hAnsi="Wingdings"/>
                <w:b/>
                <w:bCs/>
                <w:color w:val="ED8553"/>
                <w:sz w:val="20"/>
                <w:szCs w:val="20"/>
              </w:rPr>
            </w:pPr>
            <w:r w:rsidRPr="003F6630">
              <w:rPr>
                <w:rFonts w:ascii="Wingdings" w:hAnsi="Wingdings"/>
                <w:b/>
                <w:bCs/>
                <w:color w:val="ED8553"/>
                <w:sz w:val="20"/>
                <w:szCs w:val="20"/>
              </w:rPr>
              <w:sym w:font="Wingdings" w:char="F06C"/>
            </w:r>
          </w:p>
        </w:tc>
        <w:tc>
          <w:tcPr>
            <w:tcW w:w="705" w:type="pct"/>
          </w:tcPr>
          <w:p w14:paraId="4BFA8C15" w14:textId="77777777" w:rsidR="00FC0039" w:rsidRPr="003F6630" w:rsidRDefault="00FC0039" w:rsidP="00FC0039">
            <w:pPr>
              <w:jc w:val="center"/>
              <w:rPr>
                <w:rFonts w:ascii="Wingdings" w:hAnsi="Wingdings"/>
                <w:b/>
                <w:bCs/>
                <w:color w:val="691E61"/>
                <w:sz w:val="20"/>
                <w:szCs w:val="20"/>
              </w:rPr>
            </w:pPr>
            <w:r w:rsidRPr="003F6630">
              <w:rPr>
                <w:rFonts w:ascii="Wingdings" w:hAnsi="Wingdings"/>
                <w:b/>
                <w:bCs/>
                <w:color w:val="691E61"/>
                <w:sz w:val="20"/>
                <w:szCs w:val="20"/>
              </w:rPr>
              <w:sym w:font="Wingdings" w:char="F06C"/>
            </w:r>
          </w:p>
        </w:tc>
      </w:tr>
      <w:tr w:rsidR="00FC0039" w:rsidRPr="003F6630" w14:paraId="67076D63" w14:textId="77777777" w:rsidTr="00C13BCA">
        <w:trPr>
          <w:trHeight w:hRule="exact" w:val="369"/>
        </w:trPr>
        <w:tc>
          <w:tcPr>
            <w:tcW w:w="2180" w:type="pct"/>
            <w:vAlign w:val="center"/>
          </w:tcPr>
          <w:p w14:paraId="642A2448" w14:textId="77777777" w:rsidR="00FC0039" w:rsidRPr="003F6630" w:rsidRDefault="00175D36" w:rsidP="00983430">
            <w:pPr>
              <w:spacing w:before="60" w:after="60"/>
              <w:rPr>
                <w:rFonts w:ascii="Arial" w:hAnsi="Arial"/>
                <w:b/>
                <w:bCs/>
                <w:sz w:val="20"/>
                <w:szCs w:val="20"/>
              </w:rPr>
            </w:pPr>
            <w:r w:rsidRPr="003F6630">
              <w:rPr>
                <w:rFonts w:ascii="Arial" w:hAnsi="Arial"/>
                <w:b/>
                <w:bCs/>
                <w:sz w:val="20"/>
                <w:szCs w:val="20"/>
              </w:rPr>
              <w:t>Department of Transport and Main Roads (</w:t>
            </w:r>
            <w:r w:rsidR="00FC0039" w:rsidRPr="003F6630">
              <w:rPr>
                <w:rFonts w:ascii="Arial" w:hAnsi="Arial"/>
                <w:b/>
                <w:bCs/>
                <w:sz w:val="20"/>
                <w:szCs w:val="20"/>
              </w:rPr>
              <w:t>DTMR</w:t>
            </w:r>
            <w:r w:rsidRPr="003F6630">
              <w:rPr>
                <w:rFonts w:ascii="Arial" w:hAnsi="Arial"/>
                <w:b/>
                <w:bCs/>
                <w:sz w:val="20"/>
                <w:szCs w:val="20"/>
              </w:rPr>
              <w:t>)</w:t>
            </w:r>
          </w:p>
        </w:tc>
        <w:tc>
          <w:tcPr>
            <w:tcW w:w="705" w:type="pct"/>
            <w:vAlign w:val="center"/>
          </w:tcPr>
          <w:p w14:paraId="3FBED0DF" w14:textId="77777777" w:rsidR="00FC0039" w:rsidRPr="003F6630" w:rsidRDefault="00FC0039" w:rsidP="00FC0039">
            <w:pPr>
              <w:jc w:val="center"/>
              <w:rPr>
                <w:rFonts w:ascii="Wingdings" w:hAnsi="Wingdings"/>
                <w:b/>
                <w:bCs/>
                <w:color w:val="379EA5"/>
                <w:sz w:val="20"/>
                <w:szCs w:val="20"/>
              </w:rPr>
            </w:pPr>
            <w:r w:rsidRPr="003F6630">
              <w:rPr>
                <w:rFonts w:ascii="Wingdings" w:hAnsi="Wingdings"/>
                <w:b/>
                <w:bCs/>
                <w:color w:val="379EA5"/>
                <w:sz w:val="20"/>
                <w:szCs w:val="20"/>
              </w:rPr>
              <w:sym w:font="Wingdings" w:char="F06C"/>
            </w:r>
          </w:p>
        </w:tc>
        <w:tc>
          <w:tcPr>
            <w:tcW w:w="705" w:type="pct"/>
          </w:tcPr>
          <w:p w14:paraId="165FD860" w14:textId="77777777" w:rsidR="00FC0039" w:rsidRPr="003F6630" w:rsidRDefault="00FC0039" w:rsidP="00FC0039">
            <w:pPr>
              <w:jc w:val="center"/>
              <w:rPr>
                <w:rFonts w:ascii="Wingdings" w:hAnsi="Wingdings"/>
                <w:b/>
                <w:bCs/>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75FC9AC9" w14:textId="77777777" w:rsidR="00FC0039" w:rsidRPr="003F6630" w:rsidRDefault="00FC0039" w:rsidP="00FC0039">
            <w:pPr>
              <w:jc w:val="center"/>
              <w:rPr>
                <w:rFonts w:ascii="Wingdings" w:hAnsi="Wingdings"/>
                <w:b/>
                <w:bCs/>
                <w:color w:val="ED8553"/>
                <w:sz w:val="20"/>
                <w:szCs w:val="20"/>
              </w:rPr>
            </w:pPr>
          </w:p>
        </w:tc>
        <w:tc>
          <w:tcPr>
            <w:tcW w:w="705" w:type="pct"/>
          </w:tcPr>
          <w:p w14:paraId="76CB0EE5" w14:textId="77777777" w:rsidR="00FC0039" w:rsidRPr="003F6630" w:rsidRDefault="00FC0039" w:rsidP="00FC0039">
            <w:pPr>
              <w:jc w:val="center"/>
              <w:rPr>
                <w:rFonts w:ascii="Wingdings" w:hAnsi="Wingdings"/>
                <w:b/>
                <w:bCs/>
                <w:color w:val="691E61"/>
                <w:sz w:val="20"/>
                <w:szCs w:val="20"/>
              </w:rPr>
            </w:pPr>
            <w:r w:rsidRPr="003F6630">
              <w:rPr>
                <w:rFonts w:ascii="Wingdings" w:hAnsi="Wingdings"/>
                <w:b/>
                <w:bCs/>
                <w:color w:val="691E61"/>
                <w:sz w:val="20"/>
                <w:szCs w:val="20"/>
              </w:rPr>
              <w:sym w:font="Wingdings" w:char="F06C"/>
            </w:r>
          </w:p>
        </w:tc>
      </w:tr>
      <w:tr w:rsidR="00FC0039" w:rsidRPr="003F6630" w14:paraId="31E9805F" w14:textId="77777777" w:rsidTr="003F6630">
        <w:trPr>
          <w:trHeight w:hRule="exact" w:val="882"/>
        </w:trPr>
        <w:tc>
          <w:tcPr>
            <w:tcW w:w="2180" w:type="pct"/>
            <w:vAlign w:val="center"/>
          </w:tcPr>
          <w:p w14:paraId="22FC5518" w14:textId="77777777" w:rsidR="00FC0039" w:rsidRPr="003F6630" w:rsidRDefault="00E03EC0" w:rsidP="00983430">
            <w:pPr>
              <w:spacing w:before="60" w:after="60"/>
              <w:rPr>
                <w:rFonts w:ascii="Arial" w:hAnsi="Arial"/>
                <w:b/>
                <w:bCs/>
                <w:sz w:val="20"/>
                <w:szCs w:val="20"/>
              </w:rPr>
            </w:pPr>
            <w:r w:rsidRPr="003F6630">
              <w:rPr>
                <w:rFonts w:ascii="Arial" w:hAnsi="Arial"/>
                <w:b/>
                <w:bCs/>
                <w:sz w:val="20"/>
                <w:szCs w:val="20"/>
              </w:rPr>
              <w:t>Department of Women, Aboriginal and Torres Strait Islander Partnerships and Multiculturalism (</w:t>
            </w:r>
            <w:r w:rsidR="00FC0039" w:rsidRPr="003F6630">
              <w:rPr>
                <w:rFonts w:ascii="Arial" w:hAnsi="Arial"/>
                <w:b/>
                <w:bCs/>
                <w:sz w:val="20"/>
                <w:szCs w:val="20"/>
              </w:rPr>
              <w:t>DWATSIPM</w:t>
            </w:r>
            <w:r w:rsidRPr="003F6630">
              <w:rPr>
                <w:rFonts w:ascii="Arial" w:hAnsi="Arial"/>
                <w:b/>
                <w:bCs/>
                <w:sz w:val="20"/>
                <w:szCs w:val="20"/>
              </w:rPr>
              <w:t>)</w:t>
            </w:r>
          </w:p>
        </w:tc>
        <w:tc>
          <w:tcPr>
            <w:tcW w:w="705" w:type="pct"/>
            <w:vAlign w:val="center"/>
          </w:tcPr>
          <w:p w14:paraId="4559434C" w14:textId="77777777" w:rsidR="00FC0039" w:rsidRPr="003F6630" w:rsidRDefault="00FC0039" w:rsidP="00FC0039">
            <w:pPr>
              <w:jc w:val="center"/>
              <w:rPr>
                <w:rFonts w:ascii="Wingdings" w:hAnsi="Wingdings"/>
                <w:b/>
                <w:bCs/>
                <w:color w:val="379EA5"/>
                <w:sz w:val="20"/>
                <w:szCs w:val="20"/>
              </w:rPr>
            </w:pPr>
            <w:r w:rsidRPr="003F6630">
              <w:rPr>
                <w:rFonts w:ascii="Wingdings" w:hAnsi="Wingdings"/>
                <w:b/>
                <w:bCs/>
                <w:color w:val="379EA5"/>
                <w:sz w:val="20"/>
                <w:szCs w:val="20"/>
              </w:rPr>
              <w:sym w:font="Wingdings" w:char="F06C"/>
            </w:r>
          </w:p>
        </w:tc>
        <w:tc>
          <w:tcPr>
            <w:tcW w:w="705" w:type="pct"/>
          </w:tcPr>
          <w:p w14:paraId="0C77A2B0" w14:textId="77777777" w:rsidR="00FC0039" w:rsidRPr="003F6630" w:rsidRDefault="00FC0039" w:rsidP="00FC0039">
            <w:pPr>
              <w:jc w:val="center"/>
              <w:rPr>
                <w:rFonts w:ascii="Wingdings" w:hAnsi="Wingdings"/>
                <w:b/>
                <w:bCs/>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64A8F8E0" w14:textId="77777777" w:rsidR="00FC0039" w:rsidRPr="003F6630" w:rsidRDefault="00FC0039" w:rsidP="00FC0039">
            <w:pPr>
              <w:jc w:val="center"/>
              <w:rPr>
                <w:rFonts w:ascii="Wingdings" w:hAnsi="Wingdings"/>
                <w:b/>
                <w:bCs/>
                <w:color w:val="ED8553"/>
                <w:sz w:val="20"/>
                <w:szCs w:val="20"/>
              </w:rPr>
            </w:pPr>
          </w:p>
        </w:tc>
        <w:tc>
          <w:tcPr>
            <w:tcW w:w="705" w:type="pct"/>
          </w:tcPr>
          <w:p w14:paraId="41609965" w14:textId="77777777" w:rsidR="00FC0039" w:rsidRPr="003F6630" w:rsidRDefault="00FC0039" w:rsidP="00FC0039">
            <w:pPr>
              <w:jc w:val="center"/>
              <w:rPr>
                <w:rFonts w:ascii="Wingdings" w:hAnsi="Wingdings"/>
                <w:b/>
                <w:bCs/>
                <w:color w:val="691E61"/>
                <w:sz w:val="20"/>
                <w:szCs w:val="20"/>
              </w:rPr>
            </w:pPr>
            <w:r w:rsidRPr="003F6630">
              <w:rPr>
                <w:rFonts w:ascii="Wingdings" w:hAnsi="Wingdings"/>
                <w:b/>
                <w:bCs/>
                <w:color w:val="691E61"/>
                <w:sz w:val="20"/>
                <w:szCs w:val="20"/>
              </w:rPr>
              <w:sym w:font="Wingdings" w:char="F06C"/>
            </w:r>
          </w:p>
        </w:tc>
      </w:tr>
      <w:tr w:rsidR="00FC0039" w:rsidRPr="003F6630" w14:paraId="33F8DB28" w14:textId="77777777" w:rsidTr="00C13BCA">
        <w:trPr>
          <w:trHeight w:hRule="exact" w:val="369"/>
        </w:trPr>
        <w:tc>
          <w:tcPr>
            <w:tcW w:w="2180" w:type="pct"/>
            <w:vAlign w:val="center"/>
          </w:tcPr>
          <w:p w14:paraId="65EE9DB1" w14:textId="77777777" w:rsidR="00FC0039" w:rsidRPr="003F6630" w:rsidRDefault="000E7A52" w:rsidP="00983430">
            <w:pPr>
              <w:spacing w:before="60" w:after="60"/>
              <w:rPr>
                <w:rFonts w:ascii="Arial" w:hAnsi="Arial"/>
                <w:b/>
                <w:bCs/>
                <w:sz w:val="20"/>
                <w:szCs w:val="20"/>
              </w:rPr>
            </w:pPr>
            <w:r w:rsidRPr="003F6630">
              <w:rPr>
                <w:rFonts w:ascii="Arial" w:hAnsi="Arial"/>
                <w:b/>
                <w:bCs/>
                <w:sz w:val="20"/>
                <w:szCs w:val="20"/>
              </w:rPr>
              <w:t>Department of Youth Justice and Victim Support (</w:t>
            </w:r>
            <w:r w:rsidR="00FC0039" w:rsidRPr="003F6630">
              <w:rPr>
                <w:rFonts w:ascii="Arial" w:hAnsi="Arial"/>
                <w:b/>
                <w:bCs/>
                <w:sz w:val="20"/>
                <w:szCs w:val="20"/>
              </w:rPr>
              <w:t>DYJVS</w:t>
            </w:r>
            <w:r w:rsidRPr="003F6630">
              <w:rPr>
                <w:rFonts w:ascii="Arial" w:hAnsi="Arial"/>
                <w:b/>
                <w:bCs/>
                <w:sz w:val="20"/>
                <w:szCs w:val="20"/>
              </w:rPr>
              <w:t>)</w:t>
            </w:r>
          </w:p>
        </w:tc>
        <w:tc>
          <w:tcPr>
            <w:tcW w:w="705" w:type="pct"/>
            <w:vAlign w:val="center"/>
          </w:tcPr>
          <w:p w14:paraId="0E247FB2" w14:textId="77777777" w:rsidR="00FC0039" w:rsidRPr="003F6630" w:rsidRDefault="00FC0039" w:rsidP="00FC0039">
            <w:pPr>
              <w:jc w:val="center"/>
              <w:rPr>
                <w:rFonts w:ascii="Wingdings" w:hAnsi="Wingdings"/>
                <w:b/>
                <w:bCs/>
                <w:color w:val="379EA5"/>
                <w:sz w:val="20"/>
                <w:szCs w:val="20"/>
              </w:rPr>
            </w:pPr>
            <w:r w:rsidRPr="003F6630">
              <w:rPr>
                <w:rFonts w:ascii="Wingdings" w:hAnsi="Wingdings"/>
                <w:b/>
                <w:bCs/>
                <w:color w:val="379EA5"/>
                <w:sz w:val="20"/>
                <w:szCs w:val="20"/>
              </w:rPr>
              <w:sym w:font="Wingdings" w:char="F06C"/>
            </w:r>
          </w:p>
        </w:tc>
        <w:tc>
          <w:tcPr>
            <w:tcW w:w="705" w:type="pct"/>
          </w:tcPr>
          <w:p w14:paraId="294394D3" w14:textId="77777777" w:rsidR="00FC0039" w:rsidRPr="003F6630" w:rsidRDefault="00FC0039" w:rsidP="00FC0039">
            <w:pPr>
              <w:jc w:val="center"/>
              <w:rPr>
                <w:rFonts w:ascii="Wingdings" w:hAnsi="Wingdings"/>
                <w:b/>
                <w:bCs/>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20B12F3B" w14:textId="77777777" w:rsidR="00FC0039" w:rsidRPr="003F6630" w:rsidRDefault="00FC0039" w:rsidP="00FC0039">
            <w:pPr>
              <w:jc w:val="center"/>
              <w:rPr>
                <w:rFonts w:ascii="Wingdings" w:hAnsi="Wingdings"/>
                <w:b/>
                <w:bCs/>
                <w:color w:val="ED8553"/>
                <w:sz w:val="20"/>
                <w:szCs w:val="20"/>
              </w:rPr>
            </w:pPr>
          </w:p>
        </w:tc>
        <w:tc>
          <w:tcPr>
            <w:tcW w:w="705" w:type="pct"/>
          </w:tcPr>
          <w:p w14:paraId="486DB656" w14:textId="77777777" w:rsidR="00FC0039" w:rsidRPr="003F6630" w:rsidRDefault="00FC0039" w:rsidP="00FC0039">
            <w:pPr>
              <w:jc w:val="center"/>
              <w:rPr>
                <w:rFonts w:ascii="Wingdings" w:hAnsi="Wingdings"/>
                <w:b/>
                <w:bCs/>
                <w:color w:val="691E61"/>
                <w:sz w:val="20"/>
                <w:szCs w:val="20"/>
              </w:rPr>
            </w:pPr>
            <w:r w:rsidRPr="003F6630">
              <w:rPr>
                <w:rFonts w:ascii="Wingdings" w:hAnsi="Wingdings"/>
                <w:b/>
                <w:bCs/>
                <w:color w:val="691E61"/>
                <w:sz w:val="20"/>
                <w:szCs w:val="20"/>
              </w:rPr>
              <w:sym w:font="Wingdings" w:char="F06C"/>
            </w:r>
          </w:p>
        </w:tc>
      </w:tr>
      <w:tr w:rsidR="001F2233" w:rsidRPr="003F6630" w14:paraId="00B7DDDC" w14:textId="77777777" w:rsidTr="00C13BCA">
        <w:trPr>
          <w:trHeight w:hRule="exact" w:val="369"/>
        </w:trPr>
        <w:tc>
          <w:tcPr>
            <w:tcW w:w="2180" w:type="pct"/>
            <w:vAlign w:val="center"/>
          </w:tcPr>
          <w:p w14:paraId="6CFC662B" w14:textId="77777777" w:rsidR="001F2233" w:rsidRPr="003F6630" w:rsidRDefault="00C350E3" w:rsidP="00983430">
            <w:pPr>
              <w:spacing w:before="60" w:after="60"/>
              <w:rPr>
                <w:rFonts w:ascii="Arial" w:hAnsi="Arial"/>
                <w:b/>
                <w:bCs/>
                <w:sz w:val="20"/>
                <w:szCs w:val="20"/>
              </w:rPr>
            </w:pPr>
            <w:r w:rsidRPr="003F6630">
              <w:rPr>
                <w:rFonts w:ascii="Arial" w:hAnsi="Arial"/>
                <w:b/>
                <w:bCs/>
                <w:sz w:val="20"/>
                <w:szCs w:val="20"/>
              </w:rPr>
              <w:t>Queensland Reconstruction Authority (</w:t>
            </w:r>
            <w:r w:rsidR="00FC0039" w:rsidRPr="003F6630">
              <w:rPr>
                <w:rFonts w:ascii="Arial" w:hAnsi="Arial"/>
                <w:b/>
                <w:bCs/>
                <w:sz w:val="20"/>
                <w:szCs w:val="20"/>
              </w:rPr>
              <w:t>QRA</w:t>
            </w:r>
            <w:r w:rsidRPr="003F6630">
              <w:rPr>
                <w:rFonts w:ascii="Arial" w:hAnsi="Arial"/>
                <w:b/>
                <w:bCs/>
                <w:sz w:val="20"/>
                <w:szCs w:val="20"/>
              </w:rPr>
              <w:t>)</w:t>
            </w:r>
          </w:p>
        </w:tc>
        <w:tc>
          <w:tcPr>
            <w:tcW w:w="705" w:type="pct"/>
            <w:vAlign w:val="center"/>
          </w:tcPr>
          <w:p w14:paraId="29E87B41" w14:textId="77777777" w:rsidR="001F2233" w:rsidRPr="003F6630" w:rsidRDefault="009921FD" w:rsidP="00BF7CD5">
            <w:pPr>
              <w:jc w:val="center"/>
              <w:rPr>
                <w:rFonts w:ascii="Wingdings" w:hAnsi="Wingdings"/>
                <w:b/>
                <w:bCs/>
                <w:color w:val="379EA5"/>
                <w:sz w:val="20"/>
                <w:szCs w:val="20"/>
              </w:rPr>
            </w:pPr>
            <w:r w:rsidRPr="003F6630">
              <w:rPr>
                <w:rFonts w:ascii="Wingdings" w:hAnsi="Wingdings"/>
                <w:b/>
                <w:bCs/>
                <w:color w:val="379EA5"/>
                <w:sz w:val="20"/>
                <w:szCs w:val="20"/>
              </w:rPr>
              <w:sym w:font="Wingdings" w:char="F06C"/>
            </w:r>
          </w:p>
        </w:tc>
        <w:tc>
          <w:tcPr>
            <w:tcW w:w="705" w:type="pct"/>
            <w:vAlign w:val="center"/>
          </w:tcPr>
          <w:p w14:paraId="56CD3B5D" w14:textId="77777777" w:rsidR="001F2233" w:rsidRPr="003F6630" w:rsidRDefault="001F2233" w:rsidP="00BF7CD5">
            <w:pPr>
              <w:jc w:val="center"/>
              <w:rPr>
                <w:rFonts w:ascii="Wingdings" w:hAnsi="Wingdings"/>
                <w:b/>
                <w:bCs/>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1A6B34F5" w14:textId="77777777" w:rsidR="001F2233" w:rsidRPr="003F6630" w:rsidRDefault="001F2233" w:rsidP="00BF7CD5">
            <w:pPr>
              <w:jc w:val="center"/>
              <w:rPr>
                <w:rFonts w:ascii="Wingdings" w:hAnsi="Wingdings"/>
                <w:b/>
                <w:bCs/>
                <w:color w:val="ED8553"/>
                <w:sz w:val="20"/>
                <w:szCs w:val="20"/>
              </w:rPr>
            </w:pPr>
          </w:p>
        </w:tc>
        <w:tc>
          <w:tcPr>
            <w:tcW w:w="705" w:type="pct"/>
            <w:vAlign w:val="center"/>
          </w:tcPr>
          <w:p w14:paraId="1DDB4A23" w14:textId="77777777" w:rsidR="001F2233" w:rsidRPr="003F6630" w:rsidRDefault="001F2233" w:rsidP="00BF7CD5">
            <w:pPr>
              <w:jc w:val="center"/>
              <w:rPr>
                <w:rFonts w:ascii="Wingdings" w:hAnsi="Wingdings"/>
                <w:b/>
                <w:bCs/>
                <w:color w:val="691E61"/>
                <w:sz w:val="20"/>
                <w:szCs w:val="20"/>
              </w:rPr>
            </w:pPr>
            <w:r w:rsidRPr="003F6630">
              <w:rPr>
                <w:rFonts w:ascii="Wingdings" w:hAnsi="Wingdings"/>
                <w:b/>
                <w:bCs/>
                <w:color w:val="691E61"/>
                <w:sz w:val="20"/>
                <w:szCs w:val="20"/>
              </w:rPr>
              <w:sym w:font="Wingdings" w:char="F06C"/>
            </w:r>
          </w:p>
        </w:tc>
      </w:tr>
      <w:tr w:rsidR="001F2233" w:rsidRPr="003F6630" w14:paraId="48C41AEB" w14:textId="77777777" w:rsidTr="00C13BCA">
        <w:trPr>
          <w:trHeight w:hRule="exact" w:val="369"/>
        </w:trPr>
        <w:tc>
          <w:tcPr>
            <w:tcW w:w="2180" w:type="pct"/>
            <w:vAlign w:val="center"/>
          </w:tcPr>
          <w:p w14:paraId="28C6FCCB" w14:textId="77777777" w:rsidR="001F2233" w:rsidRPr="003F6630" w:rsidRDefault="00C350E3" w:rsidP="00983430">
            <w:pPr>
              <w:spacing w:before="60" w:after="60"/>
              <w:rPr>
                <w:rFonts w:ascii="Arial" w:hAnsi="Arial"/>
                <w:b/>
                <w:bCs/>
                <w:sz w:val="20"/>
                <w:szCs w:val="20"/>
              </w:rPr>
            </w:pPr>
            <w:r w:rsidRPr="003F6630">
              <w:rPr>
                <w:rFonts w:ascii="Arial" w:hAnsi="Arial"/>
                <w:b/>
                <w:bCs/>
                <w:sz w:val="20"/>
                <w:szCs w:val="20"/>
              </w:rPr>
              <w:t>Health and Wellbeing Queensland (</w:t>
            </w:r>
            <w:r w:rsidR="00FC0039" w:rsidRPr="003F6630">
              <w:rPr>
                <w:rFonts w:ascii="Arial" w:hAnsi="Arial"/>
                <w:b/>
                <w:bCs/>
                <w:sz w:val="20"/>
                <w:szCs w:val="20"/>
              </w:rPr>
              <w:t>HWQ</w:t>
            </w:r>
            <w:r w:rsidRPr="003F6630">
              <w:rPr>
                <w:rFonts w:ascii="Arial" w:hAnsi="Arial"/>
                <w:b/>
                <w:bCs/>
                <w:sz w:val="20"/>
                <w:szCs w:val="20"/>
              </w:rPr>
              <w:t>)</w:t>
            </w:r>
          </w:p>
        </w:tc>
        <w:tc>
          <w:tcPr>
            <w:tcW w:w="705" w:type="pct"/>
            <w:vAlign w:val="center"/>
          </w:tcPr>
          <w:p w14:paraId="74DCB03E" w14:textId="77777777" w:rsidR="001F2233" w:rsidRPr="003F6630" w:rsidRDefault="009921FD" w:rsidP="00BF7CD5">
            <w:pPr>
              <w:jc w:val="center"/>
              <w:rPr>
                <w:rFonts w:ascii="Wingdings" w:hAnsi="Wingdings"/>
                <w:b/>
                <w:bCs/>
                <w:color w:val="379EA5"/>
                <w:sz w:val="20"/>
                <w:szCs w:val="20"/>
              </w:rPr>
            </w:pPr>
            <w:r w:rsidRPr="003F6630">
              <w:rPr>
                <w:rFonts w:ascii="Wingdings" w:hAnsi="Wingdings"/>
                <w:b/>
                <w:bCs/>
                <w:color w:val="379EA5"/>
                <w:sz w:val="20"/>
                <w:szCs w:val="20"/>
              </w:rPr>
              <w:sym w:font="Wingdings" w:char="F06C"/>
            </w:r>
          </w:p>
        </w:tc>
        <w:tc>
          <w:tcPr>
            <w:tcW w:w="705" w:type="pct"/>
            <w:vAlign w:val="center"/>
          </w:tcPr>
          <w:p w14:paraId="51621E37" w14:textId="77777777" w:rsidR="001F2233" w:rsidRPr="003F6630" w:rsidRDefault="001F2233" w:rsidP="00BF7CD5">
            <w:pPr>
              <w:jc w:val="center"/>
              <w:rPr>
                <w:rFonts w:ascii="Wingdings" w:hAnsi="Wingdings"/>
                <w:b/>
                <w:bCs/>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3C2E0490" w14:textId="77777777" w:rsidR="001F2233" w:rsidRPr="003F6630" w:rsidRDefault="001F2233" w:rsidP="00BF7CD5">
            <w:pPr>
              <w:jc w:val="center"/>
              <w:rPr>
                <w:rFonts w:ascii="Wingdings" w:hAnsi="Wingdings"/>
                <w:b/>
                <w:bCs/>
                <w:color w:val="ED8553"/>
                <w:sz w:val="20"/>
                <w:szCs w:val="20"/>
              </w:rPr>
            </w:pPr>
          </w:p>
        </w:tc>
        <w:tc>
          <w:tcPr>
            <w:tcW w:w="705" w:type="pct"/>
            <w:vAlign w:val="center"/>
          </w:tcPr>
          <w:p w14:paraId="4C71E752" w14:textId="77777777" w:rsidR="001F2233" w:rsidRPr="003F6630" w:rsidRDefault="001F2233" w:rsidP="00BF7CD5">
            <w:pPr>
              <w:jc w:val="center"/>
              <w:rPr>
                <w:rFonts w:ascii="Wingdings" w:hAnsi="Wingdings"/>
                <w:b/>
                <w:bCs/>
                <w:color w:val="691E61"/>
                <w:sz w:val="20"/>
                <w:szCs w:val="20"/>
              </w:rPr>
            </w:pPr>
            <w:r w:rsidRPr="003F6630">
              <w:rPr>
                <w:rFonts w:ascii="Wingdings" w:hAnsi="Wingdings"/>
                <w:b/>
                <w:bCs/>
                <w:color w:val="691E61"/>
                <w:sz w:val="20"/>
                <w:szCs w:val="20"/>
              </w:rPr>
              <w:sym w:font="Wingdings" w:char="F06C"/>
            </w:r>
          </w:p>
        </w:tc>
      </w:tr>
      <w:tr w:rsidR="001F2233" w:rsidRPr="003F6630" w14:paraId="51CB5F4C" w14:textId="77777777" w:rsidTr="00C13BCA">
        <w:trPr>
          <w:trHeight w:hRule="exact" w:val="369"/>
        </w:trPr>
        <w:tc>
          <w:tcPr>
            <w:tcW w:w="2180" w:type="pct"/>
            <w:vAlign w:val="center"/>
          </w:tcPr>
          <w:p w14:paraId="264972F4" w14:textId="77777777" w:rsidR="001F2233" w:rsidRPr="003F6630" w:rsidRDefault="00C350E3" w:rsidP="00983430">
            <w:pPr>
              <w:spacing w:before="60" w:after="60"/>
              <w:rPr>
                <w:rFonts w:ascii="Arial" w:hAnsi="Arial"/>
                <w:b/>
                <w:bCs/>
                <w:sz w:val="20"/>
                <w:szCs w:val="20"/>
              </w:rPr>
            </w:pPr>
            <w:r w:rsidRPr="003F6630">
              <w:rPr>
                <w:rFonts w:ascii="Arial" w:hAnsi="Arial"/>
                <w:b/>
                <w:bCs/>
                <w:sz w:val="20"/>
                <w:szCs w:val="20"/>
              </w:rPr>
              <w:lastRenderedPageBreak/>
              <w:t>Trade and Investment Queensland (</w:t>
            </w:r>
            <w:r w:rsidR="00FC0039" w:rsidRPr="003F6630">
              <w:rPr>
                <w:rFonts w:ascii="Arial" w:hAnsi="Arial"/>
                <w:b/>
                <w:bCs/>
                <w:sz w:val="20"/>
                <w:szCs w:val="20"/>
              </w:rPr>
              <w:t>TIQ</w:t>
            </w:r>
            <w:r w:rsidRPr="003F6630">
              <w:rPr>
                <w:rFonts w:ascii="Arial" w:hAnsi="Arial"/>
                <w:b/>
                <w:bCs/>
                <w:sz w:val="20"/>
                <w:szCs w:val="20"/>
              </w:rPr>
              <w:t>)</w:t>
            </w:r>
          </w:p>
        </w:tc>
        <w:tc>
          <w:tcPr>
            <w:tcW w:w="705" w:type="pct"/>
            <w:vAlign w:val="center"/>
          </w:tcPr>
          <w:p w14:paraId="6ACBBC5A" w14:textId="77777777" w:rsidR="001F2233" w:rsidRPr="003F6630" w:rsidRDefault="001F2233" w:rsidP="00BF7CD5">
            <w:pPr>
              <w:jc w:val="center"/>
              <w:rPr>
                <w:rFonts w:ascii="Wingdings" w:hAnsi="Wingdings"/>
                <w:b/>
                <w:bCs/>
                <w:color w:val="379EA5"/>
                <w:sz w:val="20"/>
                <w:szCs w:val="20"/>
              </w:rPr>
            </w:pPr>
          </w:p>
        </w:tc>
        <w:tc>
          <w:tcPr>
            <w:tcW w:w="705" w:type="pct"/>
            <w:vAlign w:val="center"/>
          </w:tcPr>
          <w:p w14:paraId="2505AE00" w14:textId="77777777" w:rsidR="001F2233" w:rsidRPr="003F6630" w:rsidRDefault="001F2233" w:rsidP="00BF7CD5">
            <w:pPr>
              <w:jc w:val="center"/>
              <w:rPr>
                <w:rFonts w:ascii="Wingdings" w:hAnsi="Wingdings"/>
                <w:b/>
                <w:bCs/>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65F0FFA7" w14:textId="77777777" w:rsidR="001F2233" w:rsidRPr="003F6630" w:rsidRDefault="009921FD" w:rsidP="00BF7CD5">
            <w:pPr>
              <w:jc w:val="center"/>
              <w:rPr>
                <w:rFonts w:ascii="Wingdings" w:hAnsi="Wingdings"/>
                <w:b/>
                <w:bCs/>
                <w:color w:val="ED8553"/>
                <w:sz w:val="20"/>
                <w:szCs w:val="20"/>
              </w:rPr>
            </w:pPr>
            <w:r w:rsidRPr="003F6630">
              <w:rPr>
                <w:rFonts w:ascii="Wingdings" w:hAnsi="Wingdings"/>
                <w:b/>
                <w:bCs/>
                <w:color w:val="ED8553"/>
                <w:sz w:val="20"/>
                <w:szCs w:val="20"/>
              </w:rPr>
              <w:sym w:font="Wingdings" w:char="F06C"/>
            </w:r>
          </w:p>
        </w:tc>
        <w:tc>
          <w:tcPr>
            <w:tcW w:w="705" w:type="pct"/>
            <w:vAlign w:val="center"/>
          </w:tcPr>
          <w:p w14:paraId="698C98B6" w14:textId="77777777" w:rsidR="001F2233" w:rsidRPr="003F6630" w:rsidRDefault="001F2233" w:rsidP="00BF7CD5">
            <w:pPr>
              <w:jc w:val="center"/>
              <w:rPr>
                <w:rFonts w:ascii="Wingdings" w:hAnsi="Wingdings"/>
                <w:b/>
                <w:bCs/>
                <w:color w:val="691E61"/>
                <w:sz w:val="20"/>
                <w:szCs w:val="20"/>
              </w:rPr>
            </w:pPr>
            <w:r w:rsidRPr="003F6630">
              <w:rPr>
                <w:rFonts w:ascii="Wingdings" w:hAnsi="Wingdings"/>
                <w:b/>
                <w:bCs/>
                <w:color w:val="691E61"/>
                <w:sz w:val="20"/>
                <w:szCs w:val="20"/>
              </w:rPr>
              <w:sym w:font="Wingdings" w:char="F06C"/>
            </w:r>
          </w:p>
        </w:tc>
      </w:tr>
      <w:tr w:rsidR="001F2233" w:rsidRPr="003F6630" w14:paraId="2AD13ABE" w14:textId="77777777" w:rsidTr="00C13BCA">
        <w:trPr>
          <w:trHeight w:hRule="exact" w:val="369"/>
        </w:trPr>
        <w:tc>
          <w:tcPr>
            <w:tcW w:w="2180" w:type="pct"/>
            <w:vAlign w:val="center"/>
          </w:tcPr>
          <w:p w14:paraId="0213D702" w14:textId="77777777" w:rsidR="001F2233" w:rsidRPr="003F6630" w:rsidRDefault="00FC0039" w:rsidP="00983430">
            <w:pPr>
              <w:spacing w:before="60" w:after="60"/>
              <w:rPr>
                <w:rFonts w:ascii="Arial" w:hAnsi="Arial"/>
                <w:b/>
                <w:bCs/>
                <w:sz w:val="20"/>
                <w:szCs w:val="20"/>
              </w:rPr>
            </w:pPr>
            <w:r w:rsidRPr="003F6630">
              <w:rPr>
                <w:rFonts w:ascii="Arial" w:hAnsi="Arial"/>
                <w:b/>
                <w:bCs/>
                <w:sz w:val="20"/>
                <w:szCs w:val="20"/>
              </w:rPr>
              <w:t>TAFE QLD</w:t>
            </w:r>
          </w:p>
        </w:tc>
        <w:tc>
          <w:tcPr>
            <w:tcW w:w="705" w:type="pct"/>
            <w:vAlign w:val="center"/>
          </w:tcPr>
          <w:p w14:paraId="4E2C0686" w14:textId="77777777" w:rsidR="001F2233" w:rsidRPr="003F6630" w:rsidRDefault="009921FD" w:rsidP="00BF7CD5">
            <w:pPr>
              <w:jc w:val="center"/>
              <w:rPr>
                <w:rFonts w:ascii="Wingdings" w:hAnsi="Wingdings"/>
                <w:b/>
                <w:bCs/>
                <w:color w:val="379EA5"/>
                <w:sz w:val="20"/>
                <w:szCs w:val="20"/>
              </w:rPr>
            </w:pPr>
            <w:r w:rsidRPr="003F6630">
              <w:rPr>
                <w:rFonts w:ascii="Wingdings" w:hAnsi="Wingdings"/>
                <w:b/>
                <w:bCs/>
                <w:color w:val="379EA5"/>
                <w:sz w:val="20"/>
                <w:szCs w:val="20"/>
              </w:rPr>
              <w:sym w:font="Wingdings" w:char="F06C"/>
            </w:r>
          </w:p>
        </w:tc>
        <w:tc>
          <w:tcPr>
            <w:tcW w:w="705" w:type="pct"/>
            <w:vAlign w:val="center"/>
          </w:tcPr>
          <w:p w14:paraId="0A030F43" w14:textId="77777777" w:rsidR="001F2233" w:rsidRPr="003F6630" w:rsidRDefault="001F2233" w:rsidP="00BF7CD5">
            <w:pPr>
              <w:jc w:val="center"/>
              <w:rPr>
                <w:rFonts w:ascii="Wingdings" w:hAnsi="Wingdings"/>
                <w:b/>
                <w:bCs/>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326D39E2" w14:textId="77777777" w:rsidR="001F2233" w:rsidRPr="003F6630" w:rsidRDefault="009921FD" w:rsidP="00BF7CD5">
            <w:pPr>
              <w:jc w:val="center"/>
              <w:rPr>
                <w:rFonts w:ascii="Wingdings" w:hAnsi="Wingdings"/>
                <w:b/>
                <w:bCs/>
                <w:color w:val="ED8553"/>
                <w:sz w:val="20"/>
                <w:szCs w:val="20"/>
              </w:rPr>
            </w:pPr>
            <w:r w:rsidRPr="003F6630">
              <w:rPr>
                <w:rFonts w:ascii="Wingdings" w:hAnsi="Wingdings"/>
                <w:b/>
                <w:bCs/>
                <w:color w:val="ED8553"/>
                <w:sz w:val="20"/>
                <w:szCs w:val="20"/>
              </w:rPr>
              <w:sym w:font="Wingdings" w:char="F06C"/>
            </w:r>
          </w:p>
        </w:tc>
        <w:tc>
          <w:tcPr>
            <w:tcW w:w="705" w:type="pct"/>
            <w:vAlign w:val="center"/>
          </w:tcPr>
          <w:p w14:paraId="235263F4" w14:textId="77777777" w:rsidR="001F2233" w:rsidRPr="003F6630" w:rsidRDefault="001F2233" w:rsidP="00BF7CD5">
            <w:pPr>
              <w:jc w:val="center"/>
              <w:rPr>
                <w:rFonts w:ascii="Wingdings" w:hAnsi="Wingdings"/>
                <w:b/>
                <w:bCs/>
                <w:color w:val="691E61"/>
                <w:sz w:val="20"/>
                <w:szCs w:val="20"/>
              </w:rPr>
            </w:pPr>
            <w:r w:rsidRPr="003F6630">
              <w:rPr>
                <w:rFonts w:ascii="Wingdings" w:hAnsi="Wingdings"/>
                <w:b/>
                <w:bCs/>
                <w:color w:val="691E61"/>
                <w:sz w:val="20"/>
                <w:szCs w:val="20"/>
              </w:rPr>
              <w:sym w:font="Wingdings" w:char="F06C"/>
            </w:r>
          </w:p>
        </w:tc>
      </w:tr>
      <w:tr w:rsidR="001F2233" w:rsidRPr="003F6630" w14:paraId="7FBED74A" w14:textId="77777777" w:rsidTr="00C13BCA">
        <w:trPr>
          <w:trHeight w:hRule="exact" w:val="369"/>
        </w:trPr>
        <w:tc>
          <w:tcPr>
            <w:tcW w:w="2180" w:type="pct"/>
            <w:vAlign w:val="center"/>
          </w:tcPr>
          <w:p w14:paraId="37C76038" w14:textId="77777777" w:rsidR="001F2233" w:rsidRPr="003F6630" w:rsidRDefault="00C350E3" w:rsidP="00983430">
            <w:pPr>
              <w:spacing w:before="60" w:after="60"/>
              <w:rPr>
                <w:rFonts w:ascii="Arial" w:hAnsi="Arial"/>
                <w:b/>
                <w:bCs/>
                <w:sz w:val="20"/>
                <w:szCs w:val="20"/>
              </w:rPr>
            </w:pPr>
            <w:r w:rsidRPr="003F6630">
              <w:rPr>
                <w:rFonts w:ascii="Arial" w:hAnsi="Arial"/>
                <w:b/>
                <w:bCs/>
                <w:sz w:val="20"/>
                <w:szCs w:val="20"/>
              </w:rPr>
              <w:t>Residential Tenancies Authority (</w:t>
            </w:r>
            <w:r w:rsidR="00FC0039" w:rsidRPr="003F6630">
              <w:rPr>
                <w:rFonts w:ascii="Arial" w:hAnsi="Arial"/>
                <w:b/>
                <w:bCs/>
                <w:sz w:val="20"/>
                <w:szCs w:val="20"/>
              </w:rPr>
              <w:t>RTA</w:t>
            </w:r>
            <w:r w:rsidRPr="003F6630">
              <w:rPr>
                <w:rFonts w:ascii="Arial" w:hAnsi="Arial"/>
                <w:b/>
                <w:bCs/>
                <w:sz w:val="20"/>
                <w:szCs w:val="20"/>
              </w:rPr>
              <w:t>)</w:t>
            </w:r>
          </w:p>
        </w:tc>
        <w:tc>
          <w:tcPr>
            <w:tcW w:w="705" w:type="pct"/>
            <w:vAlign w:val="center"/>
          </w:tcPr>
          <w:p w14:paraId="76C30BF9" w14:textId="77777777" w:rsidR="001F2233" w:rsidRPr="003F6630" w:rsidRDefault="009921FD" w:rsidP="00BF7CD5">
            <w:pPr>
              <w:jc w:val="center"/>
              <w:rPr>
                <w:rFonts w:ascii="Wingdings" w:hAnsi="Wingdings"/>
                <w:b/>
                <w:bCs/>
                <w:color w:val="379EA5"/>
                <w:sz w:val="20"/>
                <w:szCs w:val="20"/>
              </w:rPr>
            </w:pPr>
            <w:r w:rsidRPr="003F6630">
              <w:rPr>
                <w:rFonts w:ascii="Wingdings" w:hAnsi="Wingdings"/>
                <w:b/>
                <w:bCs/>
                <w:color w:val="379EA5"/>
                <w:sz w:val="20"/>
                <w:szCs w:val="20"/>
              </w:rPr>
              <w:sym w:font="Wingdings" w:char="F06C"/>
            </w:r>
          </w:p>
        </w:tc>
        <w:tc>
          <w:tcPr>
            <w:tcW w:w="705" w:type="pct"/>
            <w:vAlign w:val="center"/>
          </w:tcPr>
          <w:p w14:paraId="33AF422C" w14:textId="77777777" w:rsidR="001F2233" w:rsidRPr="003F6630" w:rsidRDefault="001F2233" w:rsidP="00BF7CD5">
            <w:pPr>
              <w:jc w:val="center"/>
              <w:rPr>
                <w:rFonts w:ascii="Wingdings" w:hAnsi="Wingdings"/>
                <w:b/>
                <w:bCs/>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658A6F6B" w14:textId="77777777" w:rsidR="001F2233" w:rsidRPr="003F6630" w:rsidRDefault="001F2233" w:rsidP="00BF7CD5">
            <w:pPr>
              <w:jc w:val="center"/>
              <w:rPr>
                <w:rFonts w:ascii="Wingdings" w:hAnsi="Wingdings"/>
                <w:b/>
                <w:bCs/>
                <w:color w:val="ED8553"/>
                <w:sz w:val="20"/>
                <w:szCs w:val="20"/>
              </w:rPr>
            </w:pPr>
          </w:p>
        </w:tc>
        <w:tc>
          <w:tcPr>
            <w:tcW w:w="705" w:type="pct"/>
            <w:vAlign w:val="center"/>
          </w:tcPr>
          <w:p w14:paraId="0AE1491F" w14:textId="77777777" w:rsidR="001F2233" w:rsidRPr="003F6630" w:rsidRDefault="001F2233" w:rsidP="00BF7CD5">
            <w:pPr>
              <w:jc w:val="center"/>
              <w:rPr>
                <w:rFonts w:ascii="Wingdings" w:hAnsi="Wingdings"/>
                <w:b/>
                <w:bCs/>
                <w:color w:val="691E61"/>
                <w:sz w:val="20"/>
                <w:szCs w:val="20"/>
              </w:rPr>
            </w:pPr>
            <w:r w:rsidRPr="003F6630">
              <w:rPr>
                <w:rFonts w:ascii="Wingdings" w:hAnsi="Wingdings"/>
                <w:b/>
                <w:bCs/>
                <w:color w:val="691E61"/>
                <w:sz w:val="20"/>
                <w:szCs w:val="20"/>
              </w:rPr>
              <w:sym w:font="Wingdings" w:char="F06C"/>
            </w:r>
          </w:p>
        </w:tc>
      </w:tr>
      <w:tr w:rsidR="001F2233" w:rsidRPr="003F6630" w14:paraId="2FDB924B" w14:textId="77777777" w:rsidTr="00C13BCA">
        <w:trPr>
          <w:trHeight w:hRule="exact" w:val="369"/>
        </w:trPr>
        <w:tc>
          <w:tcPr>
            <w:tcW w:w="2180" w:type="pct"/>
            <w:vAlign w:val="center"/>
          </w:tcPr>
          <w:p w14:paraId="57563874" w14:textId="77777777" w:rsidR="001F2233" w:rsidRPr="003F6630" w:rsidRDefault="00C350E3" w:rsidP="00983430">
            <w:pPr>
              <w:spacing w:before="60" w:after="60"/>
              <w:rPr>
                <w:rFonts w:ascii="Arial" w:hAnsi="Arial"/>
                <w:b/>
                <w:bCs/>
                <w:sz w:val="20"/>
                <w:szCs w:val="20"/>
              </w:rPr>
            </w:pPr>
            <w:r w:rsidRPr="003F6630">
              <w:rPr>
                <w:rFonts w:ascii="Arial" w:hAnsi="Arial"/>
                <w:b/>
                <w:bCs/>
                <w:sz w:val="20"/>
                <w:szCs w:val="20"/>
              </w:rPr>
              <w:t>Queensland Mental Health Commission (</w:t>
            </w:r>
            <w:r w:rsidR="00FC0039" w:rsidRPr="003F6630">
              <w:rPr>
                <w:rFonts w:ascii="Arial" w:hAnsi="Arial"/>
                <w:b/>
                <w:bCs/>
                <w:sz w:val="20"/>
                <w:szCs w:val="20"/>
              </w:rPr>
              <w:t>QMHC</w:t>
            </w:r>
            <w:r w:rsidRPr="003F6630">
              <w:rPr>
                <w:rFonts w:ascii="Arial" w:hAnsi="Arial"/>
                <w:b/>
                <w:bCs/>
                <w:sz w:val="20"/>
                <w:szCs w:val="20"/>
              </w:rPr>
              <w:t>)</w:t>
            </w:r>
          </w:p>
        </w:tc>
        <w:tc>
          <w:tcPr>
            <w:tcW w:w="705" w:type="pct"/>
            <w:vAlign w:val="center"/>
          </w:tcPr>
          <w:p w14:paraId="21C09CAC" w14:textId="77777777" w:rsidR="001F2233" w:rsidRPr="003F6630" w:rsidRDefault="009921FD" w:rsidP="00BF7CD5">
            <w:pPr>
              <w:jc w:val="center"/>
              <w:rPr>
                <w:rFonts w:ascii="Wingdings" w:hAnsi="Wingdings"/>
                <w:b/>
                <w:bCs/>
                <w:color w:val="379EA5"/>
                <w:sz w:val="20"/>
                <w:szCs w:val="20"/>
              </w:rPr>
            </w:pPr>
            <w:r w:rsidRPr="003F6630">
              <w:rPr>
                <w:rFonts w:ascii="Wingdings" w:hAnsi="Wingdings"/>
                <w:b/>
                <w:bCs/>
                <w:color w:val="379EA5"/>
                <w:sz w:val="20"/>
                <w:szCs w:val="20"/>
              </w:rPr>
              <w:sym w:font="Wingdings" w:char="F06C"/>
            </w:r>
          </w:p>
        </w:tc>
        <w:tc>
          <w:tcPr>
            <w:tcW w:w="705" w:type="pct"/>
            <w:vAlign w:val="center"/>
          </w:tcPr>
          <w:p w14:paraId="754746DA" w14:textId="77777777" w:rsidR="001F2233" w:rsidRPr="003F6630" w:rsidRDefault="001F2233" w:rsidP="00BF7CD5">
            <w:pPr>
              <w:jc w:val="center"/>
              <w:rPr>
                <w:rFonts w:ascii="Wingdings" w:hAnsi="Wingdings"/>
                <w:b/>
                <w:bCs/>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4A760744" w14:textId="77777777" w:rsidR="001F2233" w:rsidRPr="003F6630" w:rsidRDefault="001F2233" w:rsidP="00BF7CD5">
            <w:pPr>
              <w:jc w:val="center"/>
              <w:rPr>
                <w:rFonts w:ascii="Wingdings" w:hAnsi="Wingdings"/>
                <w:b/>
                <w:bCs/>
                <w:color w:val="ED8553"/>
                <w:sz w:val="20"/>
                <w:szCs w:val="20"/>
              </w:rPr>
            </w:pPr>
          </w:p>
        </w:tc>
        <w:tc>
          <w:tcPr>
            <w:tcW w:w="705" w:type="pct"/>
            <w:vAlign w:val="center"/>
          </w:tcPr>
          <w:p w14:paraId="2D018F1A" w14:textId="77777777" w:rsidR="001F2233" w:rsidRPr="003F6630" w:rsidRDefault="001F2233" w:rsidP="00BF7CD5">
            <w:pPr>
              <w:jc w:val="center"/>
              <w:rPr>
                <w:rFonts w:ascii="Wingdings" w:hAnsi="Wingdings"/>
                <w:b/>
                <w:bCs/>
                <w:color w:val="691E61"/>
                <w:sz w:val="20"/>
                <w:szCs w:val="20"/>
              </w:rPr>
            </w:pPr>
            <w:r w:rsidRPr="003F6630">
              <w:rPr>
                <w:rFonts w:ascii="Wingdings" w:hAnsi="Wingdings"/>
                <w:b/>
                <w:bCs/>
                <w:color w:val="691E61"/>
                <w:sz w:val="20"/>
                <w:szCs w:val="20"/>
              </w:rPr>
              <w:sym w:font="Wingdings" w:char="F06C"/>
            </w:r>
          </w:p>
        </w:tc>
      </w:tr>
      <w:tr w:rsidR="001F2233" w:rsidRPr="003F6630" w14:paraId="59733F6C" w14:textId="77777777" w:rsidTr="00C13BCA">
        <w:trPr>
          <w:trHeight w:hRule="exact" w:val="369"/>
        </w:trPr>
        <w:tc>
          <w:tcPr>
            <w:tcW w:w="2180" w:type="pct"/>
            <w:vAlign w:val="center"/>
          </w:tcPr>
          <w:p w14:paraId="1588036B" w14:textId="77777777" w:rsidR="001F2233" w:rsidRPr="003F6630" w:rsidRDefault="00C350E3" w:rsidP="00983430">
            <w:pPr>
              <w:spacing w:before="60" w:after="60"/>
              <w:rPr>
                <w:rFonts w:ascii="Arial" w:hAnsi="Arial"/>
                <w:b/>
                <w:bCs/>
                <w:sz w:val="20"/>
                <w:szCs w:val="20"/>
              </w:rPr>
            </w:pPr>
            <w:r w:rsidRPr="003F6630">
              <w:rPr>
                <w:rFonts w:ascii="Arial" w:hAnsi="Arial"/>
                <w:b/>
                <w:bCs/>
                <w:sz w:val="20"/>
                <w:szCs w:val="20"/>
              </w:rPr>
              <w:t>Queensland Human Rights Commission (</w:t>
            </w:r>
            <w:r w:rsidR="00FC0039" w:rsidRPr="003F6630">
              <w:rPr>
                <w:rFonts w:ascii="Arial" w:hAnsi="Arial"/>
                <w:b/>
                <w:bCs/>
                <w:sz w:val="20"/>
                <w:szCs w:val="20"/>
              </w:rPr>
              <w:t>QHRC</w:t>
            </w:r>
            <w:r w:rsidRPr="003F6630">
              <w:rPr>
                <w:rFonts w:ascii="Arial" w:hAnsi="Arial"/>
                <w:b/>
                <w:bCs/>
                <w:sz w:val="20"/>
                <w:szCs w:val="20"/>
              </w:rPr>
              <w:t>)</w:t>
            </w:r>
          </w:p>
        </w:tc>
        <w:tc>
          <w:tcPr>
            <w:tcW w:w="705" w:type="pct"/>
            <w:vAlign w:val="center"/>
          </w:tcPr>
          <w:p w14:paraId="1DF7CDE1" w14:textId="77777777" w:rsidR="001F2233" w:rsidRPr="003F6630" w:rsidRDefault="009921FD" w:rsidP="00BF7CD5">
            <w:pPr>
              <w:jc w:val="center"/>
              <w:rPr>
                <w:rFonts w:ascii="Wingdings" w:hAnsi="Wingdings"/>
                <w:b/>
                <w:bCs/>
                <w:color w:val="379EA5"/>
                <w:sz w:val="20"/>
                <w:szCs w:val="20"/>
              </w:rPr>
            </w:pPr>
            <w:r w:rsidRPr="003F6630">
              <w:rPr>
                <w:rFonts w:ascii="Wingdings" w:hAnsi="Wingdings"/>
                <w:b/>
                <w:bCs/>
                <w:color w:val="379EA5"/>
                <w:sz w:val="20"/>
                <w:szCs w:val="20"/>
              </w:rPr>
              <w:sym w:font="Wingdings" w:char="F06C"/>
            </w:r>
          </w:p>
        </w:tc>
        <w:tc>
          <w:tcPr>
            <w:tcW w:w="705" w:type="pct"/>
            <w:vAlign w:val="center"/>
          </w:tcPr>
          <w:p w14:paraId="46A1F872" w14:textId="77777777" w:rsidR="001F2233" w:rsidRPr="003F6630" w:rsidRDefault="001F2233" w:rsidP="00BF7CD5">
            <w:pPr>
              <w:jc w:val="center"/>
              <w:rPr>
                <w:rFonts w:ascii="Wingdings" w:hAnsi="Wingdings"/>
                <w:b/>
                <w:bCs/>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4EC500BC" w14:textId="77777777" w:rsidR="001F2233" w:rsidRPr="003F6630" w:rsidRDefault="001F2233" w:rsidP="00BF7CD5">
            <w:pPr>
              <w:jc w:val="center"/>
              <w:rPr>
                <w:rFonts w:ascii="Wingdings" w:hAnsi="Wingdings"/>
                <w:b/>
                <w:bCs/>
                <w:color w:val="ED8553"/>
                <w:sz w:val="20"/>
                <w:szCs w:val="20"/>
              </w:rPr>
            </w:pPr>
          </w:p>
        </w:tc>
        <w:tc>
          <w:tcPr>
            <w:tcW w:w="705" w:type="pct"/>
            <w:vAlign w:val="center"/>
          </w:tcPr>
          <w:p w14:paraId="76BA0589" w14:textId="77777777" w:rsidR="001F2233" w:rsidRPr="003F6630" w:rsidRDefault="001F2233" w:rsidP="00BF7CD5">
            <w:pPr>
              <w:jc w:val="center"/>
              <w:rPr>
                <w:rFonts w:ascii="Wingdings" w:hAnsi="Wingdings"/>
                <w:b/>
                <w:bCs/>
                <w:color w:val="691E61"/>
                <w:sz w:val="20"/>
                <w:szCs w:val="20"/>
              </w:rPr>
            </w:pPr>
            <w:r w:rsidRPr="003F6630">
              <w:rPr>
                <w:rFonts w:ascii="Wingdings" w:hAnsi="Wingdings"/>
                <w:b/>
                <w:bCs/>
                <w:color w:val="691E61"/>
                <w:sz w:val="20"/>
                <w:szCs w:val="20"/>
              </w:rPr>
              <w:sym w:font="Wingdings" w:char="F06C"/>
            </w:r>
          </w:p>
        </w:tc>
      </w:tr>
      <w:tr w:rsidR="00FC0039" w:rsidRPr="003F6630" w14:paraId="63E699B4" w14:textId="77777777" w:rsidTr="00C13BCA">
        <w:trPr>
          <w:trHeight w:hRule="exact" w:val="369"/>
        </w:trPr>
        <w:tc>
          <w:tcPr>
            <w:tcW w:w="2180" w:type="pct"/>
            <w:vAlign w:val="center"/>
          </w:tcPr>
          <w:p w14:paraId="3554E661" w14:textId="77777777" w:rsidR="00FC0039" w:rsidRPr="003F6630" w:rsidRDefault="00C350E3" w:rsidP="00983430">
            <w:pPr>
              <w:spacing w:before="60" w:after="60"/>
              <w:rPr>
                <w:rFonts w:ascii="Arial" w:hAnsi="Arial"/>
                <w:b/>
                <w:bCs/>
                <w:sz w:val="20"/>
                <w:szCs w:val="20"/>
              </w:rPr>
            </w:pPr>
            <w:r w:rsidRPr="003F6630">
              <w:rPr>
                <w:rFonts w:ascii="Arial" w:hAnsi="Arial"/>
                <w:b/>
                <w:bCs/>
                <w:sz w:val="20"/>
                <w:szCs w:val="20"/>
              </w:rPr>
              <w:t>Legal Aid Queensland (</w:t>
            </w:r>
            <w:r w:rsidR="00FC0039" w:rsidRPr="003F6630">
              <w:rPr>
                <w:rFonts w:ascii="Arial" w:hAnsi="Arial"/>
                <w:b/>
                <w:bCs/>
                <w:sz w:val="20"/>
                <w:szCs w:val="20"/>
              </w:rPr>
              <w:t>LAQ</w:t>
            </w:r>
            <w:r w:rsidRPr="003F6630">
              <w:rPr>
                <w:rFonts w:ascii="Arial" w:hAnsi="Arial"/>
                <w:b/>
                <w:bCs/>
                <w:sz w:val="20"/>
                <w:szCs w:val="20"/>
              </w:rPr>
              <w:t>)</w:t>
            </w:r>
          </w:p>
        </w:tc>
        <w:tc>
          <w:tcPr>
            <w:tcW w:w="705" w:type="pct"/>
            <w:vAlign w:val="center"/>
          </w:tcPr>
          <w:p w14:paraId="1516F068" w14:textId="77777777" w:rsidR="00FC0039" w:rsidRPr="003F6630" w:rsidRDefault="00FC0039" w:rsidP="00FC0039">
            <w:pPr>
              <w:jc w:val="center"/>
              <w:rPr>
                <w:rFonts w:ascii="Wingdings" w:hAnsi="Wingdings"/>
                <w:b/>
                <w:bCs/>
                <w:color w:val="379EA5"/>
                <w:sz w:val="20"/>
                <w:szCs w:val="20"/>
              </w:rPr>
            </w:pPr>
          </w:p>
        </w:tc>
        <w:tc>
          <w:tcPr>
            <w:tcW w:w="705" w:type="pct"/>
          </w:tcPr>
          <w:p w14:paraId="2C117F1A" w14:textId="77777777" w:rsidR="00FC0039" w:rsidRPr="003F6630" w:rsidRDefault="00FC0039" w:rsidP="00FC0039">
            <w:pPr>
              <w:jc w:val="center"/>
              <w:rPr>
                <w:rFonts w:ascii="Wingdings" w:hAnsi="Wingdings"/>
                <w:b/>
                <w:bCs/>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3645E090" w14:textId="77777777" w:rsidR="00FC0039" w:rsidRPr="003F6630" w:rsidRDefault="00FC0039" w:rsidP="00FC0039">
            <w:pPr>
              <w:jc w:val="center"/>
              <w:rPr>
                <w:rFonts w:ascii="Wingdings" w:hAnsi="Wingdings"/>
                <w:b/>
                <w:bCs/>
                <w:color w:val="ED8553"/>
                <w:sz w:val="20"/>
                <w:szCs w:val="20"/>
              </w:rPr>
            </w:pPr>
          </w:p>
        </w:tc>
        <w:tc>
          <w:tcPr>
            <w:tcW w:w="705" w:type="pct"/>
          </w:tcPr>
          <w:p w14:paraId="31C4BF2B" w14:textId="77777777" w:rsidR="00FC0039" w:rsidRPr="003F6630" w:rsidRDefault="00FC0039" w:rsidP="00FC0039">
            <w:pPr>
              <w:jc w:val="center"/>
              <w:rPr>
                <w:rFonts w:ascii="Wingdings" w:hAnsi="Wingdings"/>
                <w:b/>
                <w:bCs/>
                <w:color w:val="691E61"/>
                <w:sz w:val="20"/>
                <w:szCs w:val="20"/>
              </w:rPr>
            </w:pPr>
            <w:r w:rsidRPr="003F6630">
              <w:rPr>
                <w:rFonts w:ascii="Wingdings" w:hAnsi="Wingdings"/>
                <w:b/>
                <w:bCs/>
                <w:color w:val="691E61"/>
                <w:sz w:val="20"/>
                <w:szCs w:val="20"/>
              </w:rPr>
              <w:sym w:font="Wingdings" w:char="F06C"/>
            </w:r>
          </w:p>
        </w:tc>
      </w:tr>
      <w:tr w:rsidR="00FC0039" w:rsidRPr="003F6630" w14:paraId="58F4070F" w14:textId="77777777" w:rsidTr="00C13BCA">
        <w:trPr>
          <w:trHeight w:hRule="exact" w:val="369"/>
        </w:trPr>
        <w:tc>
          <w:tcPr>
            <w:tcW w:w="2180" w:type="pct"/>
            <w:vAlign w:val="center"/>
          </w:tcPr>
          <w:p w14:paraId="20A37A5D" w14:textId="77777777" w:rsidR="00FC0039" w:rsidRPr="003F6630" w:rsidRDefault="00C350E3" w:rsidP="00983430">
            <w:pPr>
              <w:spacing w:before="60" w:after="60"/>
              <w:rPr>
                <w:rFonts w:ascii="Arial" w:hAnsi="Arial"/>
                <w:b/>
                <w:bCs/>
                <w:sz w:val="20"/>
                <w:szCs w:val="20"/>
              </w:rPr>
            </w:pPr>
            <w:r w:rsidRPr="003F6630">
              <w:rPr>
                <w:rFonts w:ascii="Arial" w:hAnsi="Arial"/>
                <w:b/>
                <w:bCs/>
                <w:sz w:val="20"/>
                <w:szCs w:val="20"/>
              </w:rPr>
              <w:t>Electoral Commission of Queensland (</w:t>
            </w:r>
            <w:r w:rsidR="00FC0039" w:rsidRPr="003F6630">
              <w:rPr>
                <w:rFonts w:ascii="Arial" w:hAnsi="Arial"/>
                <w:b/>
                <w:bCs/>
                <w:sz w:val="20"/>
                <w:szCs w:val="20"/>
              </w:rPr>
              <w:t>ECQ</w:t>
            </w:r>
            <w:r w:rsidRPr="003F6630">
              <w:rPr>
                <w:rFonts w:ascii="Arial" w:hAnsi="Arial"/>
                <w:b/>
                <w:bCs/>
                <w:sz w:val="20"/>
                <w:szCs w:val="20"/>
              </w:rPr>
              <w:t>)</w:t>
            </w:r>
          </w:p>
        </w:tc>
        <w:tc>
          <w:tcPr>
            <w:tcW w:w="705" w:type="pct"/>
            <w:vAlign w:val="center"/>
          </w:tcPr>
          <w:p w14:paraId="3A9A11CF" w14:textId="77777777" w:rsidR="00FC0039" w:rsidRPr="003F6630" w:rsidRDefault="00FC0039" w:rsidP="00FC0039">
            <w:pPr>
              <w:jc w:val="center"/>
              <w:rPr>
                <w:rFonts w:ascii="Wingdings" w:hAnsi="Wingdings"/>
                <w:b/>
                <w:bCs/>
                <w:color w:val="379EA5"/>
                <w:sz w:val="20"/>
                <w:szCs w:val="20"/>
              </w:rPr>
            </w:pPr>
            <w:r w:rsidRPr="003F6630">
              <w:rPr>
                <w:rFonts w:ascii="Wingdings" w:hAnsi="Wingdings"/>
                <w:b/>
                <w:bCs/>
                <w:color w:val="379EA5"/>
                <w:sz w:val="20"/>
                <w:szCs w:val="20"/>
              </w:rPr>
              <w:sym w:font="Wingdings" w:char="F06C"/>
            </w:r>
          </w:p>
        </w:tc>
        <w:tc>
          <w:tcPr>
            <w:tcW w:w="705" w:type="pct"/>
          </w:tcPr>
          <w:p w14:paraId="43AA0BBD" w14:textId="77777777" w:rsidR="00FC0039" w:rsidRPr="003F6630" w:rsidRDefault="00FC0039" w:rsidP="00FC0039">
            <w:pPr>
              <w:jc w:val="center"/>
              <w:rPr>
                <w:rFonts w:ascii="Wingdings" w:hAnsi="Wingdings"/>
                <w:b/>
                <w:bCs/>
                <w:color w:val="C1363A"/>
                <w:sz w:val="20"/>
                <w:szCs w:val="20"/>
              </w:rPr>
            </w:pPr>
            <w:r w:rsidRPr="003F6630">
              <w:rPr>
                <w:rFonts w:ascii="Wingdings" w:hAnsi="Wingdings"/>
                <w:b/>
                <w:bCs/>
                <w:color w:val="C1363A"/>
                <w:sz w:val="20"/>
                <w:szCs w:val="20"/>
              </w:rPr>
              <w:sym w:font="Wingdings" w:char="F06C"/>
            </w:r>
          </w:p>
        </w:tc>
        <w:tc>
          <w:tcPr>
            <w:tcW w:w="705" w:type="pct"/>
            <w:vAlign w:val="center"/>
          </w:tcPr>
          <w:p w14:paraId="6D912DD2" w14:textId="77777777" w:rsidR="00FC0039" w:rsidRPr="003F6630" w:rsidRDefault="00FC0039" w:rsidP="00FC0039">
            <w:pPr>
              <w:jc w:val="center"/>
              <w:rPr>
                <w:rFonts w:ascii="Wingdings" w:hAnsi="Wingdings"/>
                <w:b/>
                <w:bCs/>
                <w:color w:val="ED8553"/>
                <w:sz w:val="20"/>
                <w:szCs w:val="20"/>
              </w:rPr>
            </w:pPr>
          </w:p>
        </w:tc>
        <w:tc>
          <w:tcPr>
            <w:tcW w:w="705" w:type="pct"/>
          </w:tcPr>
          <w:p w14:paraId="7597BB29" w14:textId="77777777" w:rsidR="00FC0039" w:rsidRPr="003F6630" w:rsidRDefault="00FC0039" w:rsidP="00FC0039">
            <w:pPr>
              <w:jc w:val="center"/>
              <w:rPr>
                <w:rFonts w:ascii="Wingdings" w:hAnsi="Wingdings"/>
                <w:b/>
                <w:bCs/>
                <w:color w:val="691E61"/>
                <w:sz w:val="20"/>
                <w:szCs w:val="20"/>
              </w:rPr>
            </w:pPr>
            <w:r w:rsidRPr="003F6630">
              <w:rPr>
                <w:rFonts w:ascii="Wingdings" w:hAnsi="Wingdings"/>
                <w:b/>
                <w:bCs/>
                <w:color w:val="691E61"/>
                <w:sz w:val="20"/>
                <w:szCs w:val="20"/>
              </w:rPr>
              <w:sym w:font="Wingdings" w:char="F06C"/>
            </w:r>
          </w:p>
        </w:tc>
      </w:tr>
    </w:tbl>
    <w:p w14:paraId="24BFAB55" w14:textId="77777777" w:rsidR="00AD0B89" w:rsidRDefault="00AD0B89" w:rsidP="00AD0B89">
      <w:pPr>
        <w:pStyle w:val="Heading1"/>
        <w:numPr>
          <w:ilvl w:val="0"/>
          <w:numId w:val="0"/>
        </w:numPr>
      </w:pPr>
    </w:p>
    <w:p w14:paraId="10AFFBB3" w14:textId="77777777" w:rsidR="007E2187" w:rsidRDefault="007E2187" w:rsidP="007E2187">
      <w:pPr>
        <w:pStyle w:val="ListParagraph"/>
        <w:spacing w:after="0" w:line="240" w:lineRule="auto"/>
        <w:rPr>
          <w:rFonts w:ascii="Arial" w:hAnsi="Arial" w:cs="Arial"/>
        </w:rPr>
      </w:pPr>
    </w:p>
    <w:p w14:paraId="4A57C2FD" w14:textId="77777777" w:rsidR="007E2187" w:rsidRPr="006A2C28" w:rsidRDefault="007E2187" w:rsidP="006A2C28">
      <w:pPr>
        <w:spacing w:after="0" w:line="240" w:lineRule="auto"/>
        <w:sectPr w:rsidR="007E2187" w:rsidRPr="006A2C28" w:rsidSect="00FC0039">
          <w:footerReference w:type="default" r:id="rId10"/>
          <w:headerReference w:type="first" r:id="rId11"/>
          <w:footerReference w:type="first" r:id="rId12"/>
          <w:endnotePr>
            <w:numFmt w:val="decimal"/>
          </w:endnotePr>
          <w:pgSz w:w="11906" w:h="16838" w:code="9"/>
          <w:pgMar w:top="1276" w:right="1134" w:bottom="567" w:left="1134" w:header="680" w:footer="397" w:gutter="0"/>
          <w:pgNumType w:start="1"/>
          <w:cols w:space="709"/>
          <w:docGrid w:linePitch="360"/>
        </w:sectPr>
      </w:pPr>
    </w:p>
    <w:bookmarkEnd w:id="0"/>
    <w:p w14:paraId="23E05042" w14:textId="77777777" w:rsidR="002A3D49" w:rsidRPr="002A3D49" w:rsidRDefault="002A3D49" w:rsidP="002A3D49">
      <w:pPr>
        <w:spacing w:after="0" w:line="240" w:lineRule="auto"/>
      </w:pPr>
    </w:p>
    <w:p w14:paraId="6F73C07A" w14:textId="6106A7C9" w:rsidR="002A3D49" w:rsidRPr="00306355" w:rsidRDefault="002A3D49" w:rsidP="002A3D49">
      <w:pPr>
        <w:pStyle w:val="ListParagraph"/>
        <w:spacing w:after="0" w:line="240" w:lineRule="auto"/>
        <w:jc w:val="right"/>
        <w:rPr>
          <w:rFonts w:ascii="Arial" w:hAnsi="Arial" w:cs="Arial"/>
          <w:b/>
          <w:bCs/>
          <w:sz w:val="18"/>
          <w:szCs w:val="18"/>
        </w:rPr>
      </w:pPr>
      <w:r w:rsidRPr="00306355">
        <w:rPr>
          <w:rFonts w:ascii="Arial" w:hAnsi="Arial" w:cs="Arial"/>
          <w:b/>
          <w:bCs/>
          <w:sz w:val="18"/>
          <w:szCs w:val="18"/>
        </w:rPr>
        <w:t>Queensland Multicultural Action Plan 2024</w:t>
      </w:r>
      <w:r w:rsidR="00E01374">
        <w:rPr>
          <w:rFonts w:ascii="Arial" w:hAnsi="Arial" w:cs="Arial"/>
          <w:b/>
          <w:bCs/>
          <w:sz w:val="18"/>
          <w:szCs w:val="18"/>
        </w:rPr>
        <w:t>–</w:t>
      </w:r>
      <w:r w:rsidRPr="00306355">
        <w:rPr>
          <w:rFonts w:ascii="Arial" w:hAnsi="Arial" w:cs="Arial"/>
          <w:b/>
          <w:bCs/>
          <w:sz w:val="18"/>
          <w:szCs w:val="18"/>
        </w:rPr>
        <w:t>25 to 2026</w:t>
      </w:r>
      <w:r w:rsidR="00E01374">
        <w:rPr>
          <w:rFonts w:ascii="Arial" w:hAnsi="Arial" w:cs="Arial"/>
          <w:b/>
          <w:bCs/>
          <w:sz w:val="18"/>
          <w:szCs w:val="18"/>
        </w:rPr>
        <w:t>–</w:t>
      </w:r>
      <w:r w:rsidRPr="00306355">
        <w:rPr>
          <w:rFonts w:ascii="Arial" w:hAnsi="Arial" w:cs="Arial"/>
          <w:b/>
          <w:bCs/>
          <w:sz w:val="18"/>
          <w:szCs w:val="18"/>
        </w:rPr>
        <w:t>27</w:t>
      </w:r>
    </w:p>
    <w:p w14:paraId="46ABF39E" w14:textId="0B9C7AE8" w:rsidR="002A3D49" w:rsidRPr="00306355" w:rsidRDefault="002A3D49" w:rsidP="002A3D49">
      <w:pPr>
        <w:pStyle w:val="ListParagraph"/>
        <w:spacing w:after="0" w:line="240" w:lineRule="auto"/>
        <w:jc w:val="right"/>
        <w:rPr>
          <w:rFonts w:ascii="Arial" w:hAnsi="Arial" w:cs="Arial"/>
          <w:sz w:val="18"/>
          <w:szCs w:val="18"/>
        </w:rPr>
      </w:pPr>
      <w:r w:rsidRPr="00306355">
        <w:rPr>
          <w:rFonts w:ascii="Arial" w:hAnsi="Arial" w:cs="Arial"/>
          <w:sz w:val="18"/>
          <w:szCs w:val="18"/>
        </w:rPr>
        <w:t>2024</w:t>
      </w:r>
      <w:r w:rsidR="00E01374">
        <w:rPr>
          <w:rFonts w:ascii="Arial" w:hAnsi="Arial" w:cs="Arial"/>
          <w:sz w:val="18"/>
          <w:szCs w:val="18"/>
        </w:rPr>
        <w:t>–</w:t>
      </w:r>
      <w:r w:rsidRPr="00306355">
        <w:rPr>
          <w:rFonts w:ascii="Arial" w:hAnsi="Arial" w:cs="Arial"/>
          <w:sz w:val="18"/>
          <w:szCs w:val="18"/>
        </w:rPr>
        <w:t>25 Annual Reporting</w:t>
      </w:r>
    </w:p>
    <w:p w14:paraId="4DADD26F" w14:textId="77777777" w:rsidR="002A3D49" w:rsidRPr="00306355" w:rsidRDefault="002A3D49" w:rsidP="002A3D49">
      <w:pPr>
        <w:pStyle w:val="ListParagraph"/>
        <w:spacing w:after="0" w:line="240" w:lineRule="auto"/>
        <w:jc w:val="right"/>
        <w:rPr>
          <w:rFonts w:ascii="Arial" w:hAnsi="Arial" w:cs="Arial"/>
          <w:sz w:val="18"/>
          <w:szCs w:val="18"/>
        </w:rPr>
      </w:pPr>
      <w:r w:rsidRPr="00306355">
        <w:rPr>
          <w:rFonts w:ascii="Arial" w:hAnsi="Arial" w:cs="Arial"/>
          <w:sz w:val="18"/>
          <w:szCs w:val="18"/>
        </w:rPr>
        <w:t xml:space="preserve">Department of </w:t>
      </w:r>
      <w:r>
        <w:rPr>
          <w:rFonts w:ascii="Arial" w:hAnsi="Arial" w:cs="Arial"/>
          <w:sz w:val="18"/>
          <w:szCs w:val="18"/>
        </w:rPr>
        <w:t>the Premier and Cabinet</w:t>
      </w:r>
    </w:p>
    <w:p w14:paraId="206EC498" w14:textId="77777777" w:rsidR="002A3D49" w:rsidRPr="006A2C28" w:rsidRDefault="002A3D49" w:rsidP="002A3D49">
      <w:pPr>
        <w:keepNext/>
        <w:keepLines/>
        <w:spacing w:before="240" w:after="0"/>
        <w:ind w:firstLine="720"/>
        <w:outlineLvl w:val="0"/>
        <w:rPr>
          <w:rFonts w:eastAsiaTheme="majorEastAsia"/>
          <w:b/>
          <w:sz w:val="36"/>
          <w:szCs w:val="36"/>
        </w:rPr>
      </w:pPr>
      <w:r w:rsidRPr="006A2C28">
        <w:rPr>
          <w:rFonts w:ascii="Wingdings" w:eastAsiaTheme="majorEastAsia" w:hAnsi="Wingdings"/>
          <w:b/>
          <w:bCs/>
          <w:color w:val="379EA5"/>
          <w:sz w:val="36"/>
          <w:szCs w:val="36"/>
        </w:rPr>
        <w:sym w:font="Wingdings" w:char="F06C"/>
      </w:r>
      <w:r w:rsidRPr="006A2C28">
        <w:rPr>
          <w:rFonts w:ascii="Wingdings" w:eastAsiaTheme="majorEastAsia" w:hAnsi="Wingdings"/>
          <w:b/>
          <w:bCs/>
          <w:color w:val="FF00FF"/>
          <w:sz w:val="36"/>
          <w:szCs w:val="36"/>
        </w:rPr>
        <w:t xml:space="preserve"> </w:t>
      </w:r>
      <w:r w:rsidRPr="006A2C28">
        <w:rPr>
          <w:rFonts w:ascii="Arial Black" w:eastAsiaTheme="majorEastAsia" w:hAnsi="Arial Black"/>
          <w:b/>
          <w:bCs/>
          <w:color w:val="379EA5"/>
          <w:sz w:val="36"/>
          <w:szCs w:val="36"/>
        </w:rPr>
        <w:t>Focus Area 1</w:t>
      </w:r>
      <w:r w:rsidRPr="006A2C28">
        <w:rPr>
          <w:rFonts w:eastAsiaTheme="majorEastAsia"/>
          <w:b/>
          <w:color w:val="379EA5"/>
          <w:sz w:val="36"/>
          <w:szCs w:val="36"/>
        </w:rPr>
        <w:t xml:space="preserve">: </w:t>
      </w:r>
      <w:r w:rsidRPr="006A2C28">
        <w:rPr>
          <w:rFonts w:eastAsiaTheme="majorEastAsia"/>
          <w:b/>
          <w:sz w:val="36"/>
          <w:szCs w:val="36"/>
        </w:rPr>
        <w:t xml:space="preserve">Deliver Culturally Responsive Services </w:t>
      </w:r>
    </w:p>
    <w:p w14:paraId="5478ADA5" w14:textId="77777777" w:rsidR="002A3D49" w:rsidRPr="009923F8" w:rsidRDefault="002A3D49" w:rsidP="002A3D49">
      <w:pPr>
        <w:spacing w:after="0" w:line="240" w:lineRule="auto"/>
        <w:rPr>
          <w:sz w:val="22"/>
          <w:szCs w:val="22"/>
        </w:rPr>
      </w:pPr>
    </w:p>
    <w:p w14:paraId="34AA7626" w14:textId="77777777" w:rsidR="002A3D49" w:rsidRPr="009D65E5" w:rsidRDefault="002A3D49" w:rsidP="002A3D49">
      <w:pPr>
        <w:pStyle w:val="ListParagraph"/>
        <w:spacing w:after="0" w:line="240" w:lineRule="auto"/>
        <w:rPr>
          <w:rFonts w:ascii="Arial" w:eastAsia="Times New Roman" w:hAnsi="Arial" w:cs="Arial"/>
          <w:i/>
          <w:iCs/>
        </w:rPr>
      </w:pPr>
      <w:r w:rsidRPr="009923F8">
        <w:rPr>
          <w:rFonts w:ascii="Arial" w:eastAsia="Times New Roman" w:hAnsi="Arial" w:cs="Arial"/>
          <w:sz w:val="24"/>
          <w:szCs w:val="24"/>
        </w:rPr>
        <w:t xml:space="preserve">The Queensland Government remains committed to ensuring all government initiatives and services, including funded services, are culturally responsive, accessible and inclusive of all people across Queensland. </w:t>
      </w:r>
    </w:p>
    <w:p w14:paraId="0A83562A" w14:textId="77777777" w:rsidR="002A3D49" w:rsidRPr="00306355" w:rsidRDefault="002A3D49" w:rsidP="002A3D49">
      <w:pPr>
        <w:spacing w:after="0" w:line="240" w:lineRule="auto"/>
        <w:rPr>
          <w:sz w:val="2"/>
          <w:szCs w:val="2"/>
        </w:rPr>
      </w:pPr>
    </w:p>
    <w:p w14:paraId="6B8D523C" w14:textId="77777777" w:rsidR="002A3D49" w:rsidRDefault="002A3D49" w:rsidP="002A3D49">
      <w:pPr>
        <w:spacing w:after="0" w:line="240" w:lineRule="auto"/>
      </w:pPr>
    </w:p>
    <w:tbl>
      <w:tblPr>
        <w:tblStyle w:val="TableGrid"/>
        <w:tblW w:w="5000" w:type="pct"/>
        <w:tblInd w:w="279" w:type="dxa"/>
        <w:tblLayout w:type="fixed"/>
        <w:tblCellMar>
          <w:top w:w="85" w:type="dxa"/>
          <w:bottom w:w="85" w:type="dxa"/>
        </w:tblCellMar>
        <w:tblLook w:val="04A0" w:firstRow="1" w:lastRow="0" w:firstColumn="1" w:lastColumn="0" w:noHBand="0" w:noVBand="1"/>
      </w:tblPr>
      <w:tblGrid>
        <w:gridCol w:w="4393"/>
        <w:gridCol w:w="2128"/>
        <w:gridCol w:w="8464"/>
      </w:tblGrid>
      <w:tr w:rsidR="002A3D49" w:rsidRPr="00BC63A9" w14:paraId="59709167" w14:textId="77777777" w:rsidTr="00493729">
        <w:trPr>
          <w:trHeight w:val="866"/>
          <w:tblHeader/>
        </w:trPr>
        <w:tc>
          <w:tcPr>
            <w:tcW w:w="1466" w:type="pct"/>
            <w:shd w:val="clear" w:color="auto" w:fill="D9D9D9" w:themeFill="background1" w:themeFillShade="D9"/>
            <w:vAlign w:val="center"/>
          </w:tcPr>
          <w:p w14:paraId="2798C4DB" w14:textId="77777777" w:rsidR="002A3D49" w:rsidRPr="00BC63A9" w:rsidRDefault="002A3D49" w:rsidP="00493729">
            <w:pPr>
              <w:autoSpaceDE w:val="0"/>
              <w:autoSpaceDN w:val="0"/>
              <w:adjustRightInd w:val="0"/>
              <w:spacing w:after="120"/>
              <w:rPr>
                <w:rFonts w:ascii="Arial" w:hAnsi="Arial"/>
                <w:b/>
                <w:sz w:val="20"/>
                <w:szCs w:val="20"/>
              </w:rPr>
            </w:pPr>
            <w:r w:rsidRPr="00BC63A9">
              <w:rPr>
                <w:rFonts w:ascii="Arial" w:hAnsi="Arial"/>
                <w:b/>
                <w:sz w:val="20"/>
                <w:szCs w:val="20"/>
              </w:rPr>
              <w:t xml:space="preserve">Agency </w:t>
            </w:r>
            <w:r>
              <w:rPr>
                <w:rFonts w:ascii="Arial" w:hAnsi="Arial"/>
                <w:b/>
                <w:sz w:val="20"/>
                <w:szCs w:val="20"/>
              </w:rPr>
              <w:t>actions</w:t>
            </w:r>
            <w:r w:rsidRPr="00BC63A9">
              <w:rPr>
                <w:rFonts w:ascii="Arial" w:hAnsi="Arial"/>
                <w:b/>
                <w:sz w:val="20"/>
                <w:szCs w:val="20"/>
              </w:rPr>
              <w:t xml:space="preserve"> supporting </w:t>
            </w:r>
            <w:r w:rsidRPr="00BC63A9">
              <w:rPr>
                <w:rFonts w:ascii="Arial" w:hAnsi="Arial"/>
                <w:b/>
                <w:color w:val="379EA5"/>
                <w:sz w:val="20"/>
                <w:szCs w:val="20"/>
              </w:rPr>
              <w:t>Focus Area 1</w:t>
            </w:r>
          </w:p>
        </w:tc>
        <w:tc>
          <w:tcPr>
            <w:tcW w:w="710" w:type="pct"/>
            <w:shd w:val="clear" w:color="auto" w:fill="D9D9D9" w:themeFill="background1" w:themeFillShade="D9"/>
            <w:vAlign w:val="center"/>
          </w:tcPr>
          <w:p w14:paraId="2AC4BF2E" w14:textId="328117D2" w:rsidR="002A3D49" w:rsidRPr="00BC63A9" w:rsidRDefault="002A3D49" w:rsidP="00493729">
            <w:pPr>
              <w:autoSpaceDE w:val="0"/>
              <w:autoSpaceDN w:val="0"/>
              <w:adjustRightInd w:val="0"/>
              <w:spacing w:after="120"/>
              <w:jc w:val="center"/>
              <w:rPr>
                <w:rFonts w:ascii="Arial" w:hAnsi="Arial"/>
                <w:b/>
                <w:sz w:val="20"/>
                <w:szCs w:val="20"/>
              </w:rPr>
            </w:pPr>
            <w:r w:rsidRPr="00BC63A9">
              <w:rPr>
                <w:rFonts w:ascii="Arial" w:hAnsi="Arial"/>
                <w:b/>
                <w:sz w:val="20"/>
                <w:szCs w:val="20"/>
              </w:rPr>
              <w:t>Progress</w:t>
            </w:r>
            <w:r>
              <w:rPr>
                <w:rFonts w:ascii="Arial" w:hAnsi="Arial"/>
                <w:b/>
                <w:sz w:val="20"/>
                <w:szCs w:val="20"/>
              </w:rPr>
              <w:t>/</w:t>
            </w:r>
            <w:r w:rsidRPr="00BC63A9">
              <w:rPr>
                <w:rFonts w:ascii="Arial" w:hAnsi="Arial"/>
                <w:b/>
                <w:sz w:val="20"/>
                <w:szCs w:val="20"/>
              </w:rPr>
              <w:t xml:space="preserve"> status for 202</w:t>
            </w:r>
            <w:r>
              <w:rPr>
                <w:rFonts w:ascii="Arial" w:hAnsi="Arial"/>
                <w:b/>
                <w:sz w:val="20"/>
                <w:szCs w:val="20"/>
              </w:rPr>
              <w:t>4</w:t>
            </w:r>
            <w:r w:rsidR="00E01374">
              <w:rPr>
                <w:rFonts w:ascii="Arial" w:hAnsi="Arial"/>
                <w:b/>
                <w:sz w:val="20"/>
                <w:szCs w:val="20"/>
              </w:rPr>
              <w:t>–</w:t>
            </w:r>
            <w:r w:rsidRPr="00BC63A9">
              <w:rPr>
                <w:rFonts w:ascii="Arial" w:hAnsi="Arial"/>
                <w:b/>
                <w:sz w:val="20"/>
                <w:szCs w:val="20"/>
              </w:rPr>
              <w:t>2</w:t>
            </w:r>
            <w:r>
              <w:rPr>
                <w:rFonts w:ascii="Arial" w:hAnsi="Arial"/>
                <w:b/>
                <w:sz w:val="20"/>
                <w:szCs w:val="20"/>
              </w:rPr>
              <w:t>5</w:t>
            </w:r>
          </w:p>
        </w:tc>
        <w:tc>
          <w:tcPr>
            <w:tcW w:w="2824" w:type="pct"/>
            <w:shd w:val="clear" w:color="auto" w:fill="D9D9D9" w:themeFill="background1" w:themeFillShade="D9"/>
            <w:vAlign w:val="center"/>
          </w:tcPr>
          <w:p w14:paraId="58E71556" w14:textId="77777777" w:rsidR="002A3D49" w:rsidRPr="00BC63A9" w:rsidRDefault="002A3D49" w:rsidP="00493729">
            <w:pPr>
              <w:autoSpaceDE w:val="0"/>
              <w:autoSpaceDN w:val="0"/>
              <w:adjustRightInd w:val="0"/>
              <w:spacing w:after="120"/>
              <w:rPr>
                <w:rFonts w:ascii="Arial" w:hAnsi="Arial"/>
                <w:b/>
                <w:sz w:val="20"/>
                <w:szCs w:val="20"/>
              </w:rPr>
            </w:pPr>
            <w:r w:rsidRPr="00BC63A9">
              <w:rPr>
                <w:rFonts w:ascii="Arial" w:hAnsi="Arial"/>
                <w:b/>
                <w:sz w:val="20"/>
                <w:szCs w:val="20"/>
              </w:rPr>
              <w:t>Outcomes achieved for people from culturally and linguistically diverse backgrounds</w:t>
            </w:r>
          </w:p>
          <w:p w14:paraId="342A64FA" w14:textId="5FEE2B47" w:rsidR="002A3D49" w:rsidRPr="00BC63A9" w:rsidRDefault="002A3D49" w:rsidP="00493729">
            <w:pPr>
              <w:autoSpaceDE w:val="0"/>
              <w:autoSpaceDN w:val="0"/>
              <w:adjustRightInd w:val="0"/>
              <w:spacing w:after="120"/>
              <w:rPr>
                <w:rFonts w:ascii="Arial" w:hAnsi="Arial"/>
                <w:i/>
                <w:iCs/>
                <w:sz w:val="18"/>
                <w:szCs w:val="18"/>
              </w:rPr>
            </w:pPr>
          </w:p>
        </w:tc>
      </w:tr>
      <w:tr w:rsidR="002A3D49" w:rsidRPr="00BC63A9" w14:paraId="11B285D7" w14:textId="77777777" w:rsidTr="00493729">
        <w:trPr>
          <w:trHeight w:val="790"/>
        </w:trPr>
        <w:tc>
          <w:tcPr>
            <w:tcW w:w="1466" w:type="pct"/>
            <w:vAlign w:val="center"/>
          </w:tcPr>
          <w:p w14:paraId="4E86FA4D" w14:textId="77777777" w:rsidR="002A3D49" w:rsidRPr="00BC63A9" w:rsidRDefault="002A3D49" w:rsidP="00493729">
            <w:pPr>
              <w:pStyle w:val="Heading1"/>
              <w:numPr>
                <w:ilvl w:val="0"/>
                <w:numId w:val="0"/>
              </w:numPr>
              <w:rPr>
                <w:rFonts w:ascii="Arial" w:hAnsi="Arial"/>
                <w:i/>
                <w:iCs/>
                <w:color w:val="4F81BD" w:themeColor="accent1"/>
                <w:sz w:val="18"/>
                <w:szCs w:val="18"/>
              </w:rPr>
            </w:pPr>
            <w:r w:rsidRPr="00CF0C5C">
              <w:rPr>
                <w:rFonts w:ascii="Arial" w:hAnsi="Arial"/>
                <w:i/>
                <w:iCs/>
                <w:sz w:val="18"/>
                <w:szCs w:val="18"/>
              </w:rPr>
              <w:t xml:space="preserve">N/A – </w:t>
            </w:r>
            <w:r w:rsidRPr="00194D2A">
              <w:rPr>
                <w:rFonts w:ascii="Arial" w:hAnsi="Arial"/>
                <w:b w:val="0"/>
                <w:bCs/>
                <w:i/>
                <w:iCs/>
                <w:sz w:val="18"/>
                <w:szCs w:val="18"/>
              </w:rPr>
              <w:t xml:space="preserve">The Department of </w:t>
            </w:r>
            <w:r>
              <w:rPr>
                <w:rFonts w:ascii="Arial" w:hAnsi="Arial"/>
                <w:b w:val="0"/>
                <w:bCs/>
                <w:i/>
                <w:iCs/>
                <w:sz w:val="18"/>
                <w:szCs w:val="18"/>
              </w:rPr>
              <w:t xml:space="preserve">the Premier and Cabient </w:t>
            </w:r>
            <w:r w:rsidRPr="00194D2A">
              <w:rPr>
                <w:rFonts w:ascii="Arial" w:hAnsi="Arial"/>
                <w:b w:val="0"/>
                <w:bCs/>
                <w:i/>
                <w:iCs/>
                <w:sz w:val="18"/>
                <w:szCs w:val="18"/>
              </w:rPr>
              <w:t>does not have any actions under Focus Area 1.</w:t>
            </w:r>
          </w:p>
        </w:tc>
        <w:tc>
          <w:tcPr>
            <w:tcW w:w="710" w:type="pct"/>
          </w:tcPr>
          <w:p w14:paraId="2B3D4CAB" w14:textId="77777777" w:rsidR="002A3D49" w:rsidRPr="00BC63A9" w:rsidRDefault="00000000" w:rsidP="00493729">
            <w:pPr>
              <w:pStyle w:val="Heading1"/>
              <w:numPr>
                <w:ilvl w:val="0"/>
                <w:numId w:val="0"/>
              </w:numPr>
              <w:rPr>
                <w:rFonts w:ascii="Arial" w:hAnsi="Arial"/>
                <w:bCs/>
                <w:sz w:val="18"/>
                <w:szCs w:val="18"/>
              </w:rPr>
            </w:pPr>
            <w:sdt>
              <w:sdtPr>
                <w:rPr>
                  <w:bCs/>
                  <w:sz w:val="18"/>
                  <w:szCs w:val="18"/>
                </w:rPr>
                <w:alias w:val="Final Status"/>
                <w:tag w:val="Final Status"/>
                <w:id w:val="1688946980"/>
                <w:placeholder>
                  <w:docPart w:val="FB418FF0E8C941DB9A4F4D631815FC55"/>
                </w:placeholder>
                <w:dropDownList>
                  <w:listItem w:displayText="Choose a final status" w:value="Choose a final status"/>
                  <w:listItem w:displayText="Delivered" w:value="Delivered"/>
                  <w:listItem w:displayText="Not delivered" w:value="Not delivered"/>
                </w:dropDownList>
              </w:sdtPr>
              <w:sdtContent>
                <w:r w:rsidR="002A3D49" w:rsidRPr="00BC63A9">
                  <w:rPr>
                    <w:rFonts w:ascii="Arial" w:hAnsi="Arial"/>
                    <w:bCs/>
                    <w:sz w:val="18"/>
                    <w:szCs w:val="18"/>
                  </w:rPr>
                  <w:t>Choose a final status</w:t>
                </w:r>
              </w:sdtContent>
            </w:sdt>
            <w:r w:rsidR="002A3D49" w:rsidRPr="00BC63A9" w:rsidDel="00587F58">
              <w:rPr>
                <w:rFonts w:ascii="Arial" w:hAnsi="Arial"/>
                <w:bCs/>
                <w:sz w:val="18"/>
                <w:szCs w:val="18"/>
              </w:rPr>
              <w:t xml:space="preserve"> </w:t>
            </w:r>
          </w:p>
        </w:tc>
        <w:tc>
          <w:tcPr>
            <w:tcW w:w="2824" w:type="pct"/>
          </w:tcPr>
          <w:p w14:paraId="69B2F6CA" w14:textId="77777777" w:rsidR="002A3D49" w:rsidRPr="00BC63A9" w:rsidRDefault="002A3D49" w:rsidP="00493729">
            <w:pPr>
              <w:pStyle w:val="Heading1"/>
              <w:numPr>
                <w:ilvl w:val="0"/>
                <w:numId w:val="0"/>
              </w:numPr>
              <w:ind w:left="38"/>
              <w:rPr>
                <w:rFonts w:ascii="Arial" w:hAnsi="Arial"/>
                <w:bCs/>
                <w:i/>
                <w:iCs/>
                <w:color w:val="4F81BD" w:themeColor="accent1"/>
                <w:sz w:val="18"/>
                <w:szCs w:val="18"/>
              </w:rPr>
            </w:pPr>
            <w:r w:rsidRPr="00CF0C5C">
              <w:rPr>
                <w:rFonts w:ascii="Arial" w:hAnsi="Arial"/>
                <w:i/>
                <w:iCs/>
                <w:sz w:val="18"/>
                <w:szCs w:val="18"/>
              </w:rPr>
              <w:t xml:space="preserve">N/A – </w:t>
            </w:r>
            <w:r w:rsidRPr="00194D2A">
              <w:rPr>
                <w:rFonts w:ascii="Arial" w:hAnsi="Arial"/>
                <w:b w:val="0"/>
                <w:bCs/>
                <w:i/>
                <w:iCs/>
                <w:sz w:val="18"/>
                <w:szCs w:val="18"/>
              </w:rPr>
              <w:t xml:space="preserve">The Department of </w:t>
            </w:r>
            <w:r>
              <w:rPr>
                <w:rFonts w:ascii="Arial" w:hAnsi="Arial"/>
                <w:b w:val="0"/>
                <w:bCs/>
                <w:i/>
                <w:iCs/>
                <w:sz w:val="18"/>
                <w:szCs w:val="18"/>
              </w:rPr>
              <w:t>the Premier and Cabinet</w:t>
            </w:r>
            <w:r w:rsidRPr="00194D2A">
              <w:rPr>
                <w:rFonts w:ascii="Arial" w:hAnsi="Arial"/>
                <w:b w:val="0"/>
                <w:bCs/>
                <w:i/>
                <w:iCs/>
                <w:sz w:val="18"/>
                <w:szCs w:val="18"/>
              </w:rPr>
              <w:t xml:space="preserve"> does not have any actions under Focus Area 1.</w:t>
            </w:r>
          </w:p>
        </w:tc>
      </w:tr>
    </w:tbl>
    <w:p w14:paraId="08C55683" w14:textId="77777777" w:rsidR="002A3D49" w:rsidRPr="003B09F2" w:rsidRDefault="002A3D49" w:rsidP="002A3D49">
      <w:pPr>
        <w:spacing w:after="0" w:line="240" w:lineRule="auto"/>
      </w:pPr>
      <w:r w:rsidRPr="003B09F2">
        <w:t xml:space="preserve"> </w:t>
      </w:r>
    </w:p>
    <w:tbl>
      <w:tblPr>
        <w:tblStyle w:val="TableGrid"/>
        <w:tblW w:w="15025" w:type="dxa"/>
        <w:tblInd w:w="279" w:type="dxa"/>
        <w:tblLook w:val="04A0" w:firstRow="1" w:lastRow="0" w:firstColumn="1" w:lastColumn="0" w:noHBand="0" w:noVBand="1"/>
      </w:tblPr>
      <w:tblGrid>
        <w:gridCol w:w="15025"/>
      </w:tblGrid>
      <w:tr w:rsidR="002A3D49" w14:paraId="7DC13D07" w14:textId="77777777" w:rsidTr="00493729">
        <w:trPr>
          <w:trHeight w:val="455"/>
        </w:trPr>
        <w:tc>
          <w:tcPr>
            <w:tcW w:w="15025" w:type="dxa"/>
            <w:shd w:val="clear" w:color="auto" w:fill="EAF1DD" w:themeFill="accent3" w:themeFillTint="33"/>
          </w:tcPr>
          <w:p w14:paraId="1594850F" w14:textId="77777777" w:rsidR="002A3D49" w:rsidRPr="00702571" w:rsidRDefault="002A3D49" w:rsidP="00493729">
            <w:pPr>
              <w:autoSpaceDE w:val="0"/>
              <w:autoSpaceDN w:val="0"/>
              <w:adjustRightInd w:val="0"/>
              <w:rPr>
                <w:rFonts w:ascii="Arial" w:hAnsi="Arial"/>
                <w:b/>
                <w:i/>
                <w:iCs/>
                <w:sz w:val="20"/>
                <w:szCs w:val="20"/>
              </w:rPr>
            </w:pPr>
            <w:r w:rsidRPr="0044192C">
              <w:rPr>
                <w:rFonts w:ascii="Arial" w:hAnsi="Arial"/>
                <w:b/>
                <w:i/>
                <w:iCs/>
                <w:sz w:val="20"/>
                <w:szCs w:val="20"/>
              </w:rPr>
              <w:t xml:space="preserve">Case studies or good news stories to highlight achievements relevant to </w:t>
            </w:r>
            <w:r w:rsidRPr="00EC3319">
              <w:rPr>
                <w:rFonts w:ascii="Arial" w:hAnsi="Arial"/>
                <w:b/>
                <w:i/>
                <w:iCs/>
                <w:color w:val="379EA5"/>
                <w:sz w:val="20"/>
                <w:szCs w:val="20"/>
              </w:rPr>
              <w:t xml:space="preserve">Focus Area 1:  </w:t>
            </w:r>
          </w:p>
        </w:tc>
      </w:tr>
      <w:tr w:rsidR="002A3D49" w14:paraId="6F3DCD2A" w14:textId="77777777" w:rsidTr="00493729">
        <w:trPr>
          <w:cantSplit/>
          <w:trHeight w:val="256"/>
        </w:trPr>
        <w:tc>
          <w:tcPr>
            <w:tcW w:w="15025" w:type="dxa"/>
          </w:tcPr>
          <w:p w14:paraId="794F38AA" w14:textId="77777777" w:rsidR="002A3D49" w:rsidRPr="00C04962" w:rsidRDefault="002A3D49" w:rsidP="00493729">
            <w:pPr>
              <w:rPr>
                <w:rFonts w:ascii="Arial" w:hAnsi="Arial"/>
                <w:bCs/>
                <w:i/>
                <w:iCs/>
                <w:sz w:val="18"/>
                <w:szCs w:val="18"/>
              </w:rPr>
            </w:pPr>
            <w:r w:rsidRPr="00CF0C5C">
              <w:rPr>
                <w:rFonts w:ascii="Arial" w:hAnsi="Arial"/>
                <w:i/>
                <w:iCs/>
                <w:sz w:val="18"/>
                <w:szCs w:val="18"/>
              </w:rPr>
              <w:t xml:space="preserve">N/A – </w:t>
            </w:r>
            <w:r w:rsidRPr="00194D2A">
              <w:rPr>
                <w:rFonts w:ascii="Arial" w:hAnsi="Arial"/>
                <w:bCs/>
                <w:i/>
                <w:iCs/>
                <w:sz w:val="18"/>
                <w:szCs w:val="18"/>
              </w:rPr>
              <w:t xml:space="preserve">The Department of </w:t>
            </w:r>
            <w:r w:rsidRPr="002A3D49">
              <w:rPr>
                <w:rFonts w:ascii="Arial" w:hAnsi="Arial"/>
                <w:i/>
                <w:iCs/>
                <w:sz w:val="18"/>
                <w:szCs w:val="18"/>
              </w:rPr>
              <w:t>the Premier and Cabinet</w:t>
            </w:r>
            <w:r w:rsidRPr="00194D2A">
              <w:rPr>
                <w:rFonts w:ascii="Arial" w:hAnsi="Arial"/>
                <w:bCs/>
                <w:i/>
                <w:iCs/>
                <w:sz w:val="18"/>
                <w:szCs w:val="18"/>
              </w:rPr>
              <w:t xml:space="preserve"> does not have any actions under Focus Area 1.</w:t>
            </w:r>
          </w:p>
        </w:tc>
      </w:tr>
    </w:tbl>
    <w:p w14:paraId="30F4A464" w14:textId="77777777" w:rsidR="002A3D49" w:rsidRDefault="002A3D49" w:rsidP="004171BA">
      <w:pPr>
        <w:pStyle w:val="ListParagraph"/>
        <w:spacing w:after="0" w:line="240" w:lineRule="auto"/>
        <w:rPr>
          <w:b/>
          <w:bCs/>
          <w:sz w:val="18"/>
          <w:szCs w:val="18"/>
        </w:rPr>
      </w:pPr>
    </w:p>
    <w:p w14:paraId="34536BF7" w14:textId="77777777" w:rsidR="002A3D49" w:rsidRDefault="002A3D49" w:rsidP="004171BA">
      <w:pPr>
        <w:pStyle w:val="ListParagraph"/>
        <w:spacing w:after="0" w:line="240" w:lineRule="auto"/>
        <w:rPr>
          <w:b/>
          <w:bCs/>
          <w:sz w:val="18"/>
          <w:szCs w:val="18"/>
        </w:rPr>
      </w:pPr>
    </w:p>
    <w:p w14:paraId="7F61C230" w14:textId="77777777" w:rsidR="002A3D49" w:rsidRDefault="002A3D49" w:rsidP="004171BA">
      <w:pPr>
        <w:pStyle w:val="ListParagraph"/>
        <w:spacing w:after="0" w:line="240" w:lineRule="auto"/>
        <w:rPr>
          <w:b/>
          <w:bCs/>
          <w:sz w:val="18"/>
          <w:szCs w:val="18"/>
        </w:rPr>
      </w:pPr>
    </w:p>
    <w:p w14:paraId="64639502" w14:textId="77777777" w:rsidR="002A3D49" w:rsidRDefault="002A3D49" w:rsidP="004171BA">
      <w:pPr>
        <w:pStyle w:val="ListParagraph"/>
        <w:spacing w:after="0" w:line="240" w:lineRule="auto"/>
        <w:rPr>
          <w:b/>
          <w:bCs/>
          <w:sz w:val="18"/>
          <w:szCs w:val="18"/>
        </w:rPr>
      </w:pPr>
    </w:p>
    <w:p w14:paraId="5B586B61" w14:textId="77777777" w:rsidR="002A3D49" w:rsidRDefault="002A3D49" w:rsidP="004171BA">
      <w:pPr>
        <w:pStyle w:val="ListParagraph"/>
        <w:spacing w:after="0" w:line="240" w:lineRule="auto"/>
        <w:rPr>
          <w:b/>
          <w:bCs/>
          <w:sz w:val="18"/>
          <w:szCs w:val="18"/>
        </w:rPr>
      </w:pPr>
    </w:p>
    <w:p w14:paraId="6A1C5987" w14:textId="77777777" w:rsidR="002A3D49" w:rsidRDefault="002A3D49" w:rsidP="004171BA">
      <w:pPr>
        <w:pStyle w:val="ListParagraph"/>
        <w:spacing w:after="0" w:line="240" w:lineRule="auto"/>
        <w:rPr>
          <w:b/>
          <w:bCs/>
          <w:sz w:val="18"/>
          <w:szCs w:val="18"/>
        </w:rPr>
      </w:pPr>
    </w:p>
    <w:p w14:paraId="5CA38275" w14:textId="77777777" w:rsidR="002A3D49" w:rsidRDefault="002A3D49" w:rsidP="004171BA">
      <w:pPr>
        <w:pStyle w:val="ListParagraph"/>
        <w:spacing w:after="0" w:line="240" w:lineRule="auto"/>
        <w:rPr>
          <w:b/>
          <w:bCs/>
          <w:sz w:val="18"/>
          <w:szCs w:val="18"/>
        </w:rPr>
      </w:pPr>
    </w:p>
    <w:p w14:paraId="07D0AA5C" w14:textId="77777777" w:rsidR="002A3D49" w:rsidRDefault="002A3D49" w:rsidP="004171BA">
      <w:pPr>
        <w:pStyle w:val="ListParagraph"/>
        <w:spacing w:after="0" w:line="240" w:lineRule="auto"/>
        <w:rPr>
          <w:b/>
          <w:bCs/>
          <w:sz w:val="18"/>
          <w:szCs w:val="18"/>
        </w:rPr>
      </w:pPr>
    </w:p>
    <w:p w14:paraId="6B243574" w14:textId="77777777" w:rsidR="002A3D49" w:rsidRDefault="002A3D49" w:rsidP="004171BA">
      <w:pPr>
        <w:pStyle w:val="ListParagraph"/>
        <w:spacing w:after="0" w:line="240" w:lineRule="auto"/>
        <w:rPr>
          <w:b/>
          <w:bCs/>
          <w:sz w:val="18"/>
          <w:szCs w:val="18"/>
        </w:rPr>
      </w:pPr>
    </w:p>
    <w:p w14:paraId="67239F85" w14:textId="77777777" w:rsidR="002A3D49" w:rsidRDefault="002A3D49" w:rsidP="004171BA">
      <w:pPr>
        <w:pStyle w:val="ListParagraph"/>
        <w:spacing w:after="0" w:line="240" w:lineRule="auto"/>
        <w:rPr>
          <w:b/>
          <w:bCs/>
          <w:sz w:val="18"/>
          <w:szCs w:val="18"/>
        </w:rPr>
      </w:pPr>
    </w:p>
    <w:p w14:paraId="5CAB9F3C" w14:textId="77777777" w:rsidR="002A3D49" w:rsidRDefault="002A3D49" w:rsidP="004171BA">
      <w:pPr>
        <w:pStyle w:val="ListParagraph"/>
        <w:spacing w:after="0" w:line="240" w:lineRule="auto"/>
        <w:rPr>
          <w:b/>
          <w:bCs/>
          <w:sz w:val="18"/>
          <w:szCs w:val="18"/>
        </w:rPr>
      </w:pPr>
    </w:p>
    <w:p w14:paraId="3F08AC8B" w14:textId="77777777" w:rsidR="002A3D49" w:rsidRDefault="002A3D49" w:rsidP="004171BA">
      <w:pPr>
        <w:pStyle w:val="ListParagraph"/>
        <w:spacing w:after="0" w:line="240" w:lineRule="auto"/>
        <w:rPr>
          <w:b/>
          <w:bCs/>
          <w:sz w:val="18"/>
          <w:szCs w:val="18"/>
        </w:rPr>
      </w:pPr>
    </w:p>
    <w:p w14:paraId="4AD031FA" w14:textId="77777777" w:rsidR="002A3D49" w:rsidRDefault="002A3D49" w:rsidP="004171BA">
      <w:pPr>
        <w:pStyle w:val="ListParagraph"/>
        <w:spacing w:after="0" w:line="240" w:lineRule="auto"/>
        <w:rPr>
          <w:b/>
          <w:bCs/>
          <w:sz w:val="18"/>
          <w:szCs w:val="18"/>
        </w:rPr>
      </w:pPr>
    </w:p>
    <w:p w14:paraId="301A29B9" w14:textId="77777777" w:rsidR="002A3D49" w:rsidRDefault="002A3D49" w:rsidP="004171BA">
      <w:pPr>
        <w:pStyle w:val="ListParagraph"/>
        <w:spacing w:after="0" w:line="240" w:lineRule="auto"/>
        <w:rPr>
          <w:b/>
          <w:bCs/>
          <w:sz w:val="18"/>
          <w:szCs w:val="18"/>
        </w:rPr>
      </w:pPr>
    </w:p>
    <w:p w14:paraId="76BF793E" w14:textId="77777777" w:rsidR="002A3D49" w:rsidRDefault="002A3D49" w:rsidP="002A3D49">
      <w:pPr>
        <w:spacing w:after="0" w:line="240" w:lineRule="auto"/>
        <w:rPr>
          <w:b/>
          <w:bCs/>
          <w:sz w:val="18"/>
          <w:szCs w:val="18"/>
        </w:rPr>
      </w:pPr>
    </w:p>
    <w:p w14:paraId="2A9B33F7" w14:textId="77777777" w:rsidR="002A3D49" w:rsidRDefault="002A3D49" w:rsidP="002A3D49">
      <w:pPr>
        <w:spacing w:after="0" w:line="240" w:lineRule="auto"/>
        <w:rPr>
          <w:b/>
          <w:bCs/>
          <w:sz w:val="18"/>
          <w:szCs w:val="18"/>
        </w:rPr>
      </w:pPr>
    </w:p>
    <w:p w14:paraId="789C52B2" w14:textId="201D7F30" w:rsidR="001D0EA9" w:rsidRDefault="001D0EA9">
      <w:pPr>
        <w:spacing w:after="0" w:line="240" w:lineRule="auto"/>
        <w:rPr>
          <w:b/>
          <w:bCs/>
          <w:sz w:val="18"/>
          <w:szCs w:val="18"/>
        </w:rPr>
      </w:pPr>
      <w:r>
        <w:rPr>
          <w:b/>
          <w:bCs/>
          <w:sz w:val="18"/>
          <w:szCs w:val="18"/>
        </w:rPr>
        <w:br w:type="page"/>
      </w:r>
    </w:p>
    <w:p w14:paraId="26A5061E" w14:textId="77777777" w:rsidR="001D0EA9" w:rsidRPr="002A3D49" w:rsidRDefault="001D0EA9" w:rsidP="002A3D49">
      <w:pPr>
        <w:spacing w:after="0" w:line="240" w:lineRule="auto"/>
        <w:rPr>
          <w:b/>
          <w:bCs/>
          <w:sz w:val="18"/>
          <w:szCs w:val="18"/>
        </w:rPr>
      </w:pPr>
    </w:p>
    <w:p w14:paraId="1F2548B3" w14:textId="77777777" w:rsidR="002A3D49" w:rsidRPr="007017B1" w:rsidRDefault="002A3D49" w:rsidP="004171BA">
      <w:pPr>
        <w:pStyle w:val="ListParagraph"/>
        <w:spacing w:after="0" w:line="240" w:lineRule="auto"/>
        <w:rPr>
          <w:b/>
          <w:bCs/>
          <w:sz w:val="18"/>
          <w:szCs w:val="18"/>
        </w:rPr>
      </w:pPr>
    </w:p>
    <w:p w14:paraId="7462B6D1" w14:textId="190B3B12" w:rsidR="00BC63A9" w:rsidRPr="009D65E5" w:rsidRDefault="00BC63A9" w:rsidP="00BC63A9">
      <w:pPr>
        <w:pStyle w:val="ListParagraph"/>
        <w:spacing w:after="0" w:line="240" w:lineRule="auto"/>
        <w:jc w:val="right"/>
        <w:rPr>
          <w:rFonts w:ascii="Arial" w:hAnsi="Arial" w:cs="Arial"/>
          <w:b/>
          <w:bCs/>
          <w:sz w:val="18"/>
          <w:szCs w:val="18"/>
        </w:rPr>
      </w:pPr>
      <w:r w:rsidRPr="009D65E5">
        <w:rPr>
          <w:rFonts w:ascii="Arial" w:hAnsi="Arial" w:cs="Arial"/>
          <w:b/>
          <w:bCs/>
          <w:sz w:val="18"/>
          <w:szCs w:val="18"/>
        </w:rPr>
        <w:t>Queensland Multicultural Action Plan 2024</w:t>
      </w:r>
      <w:r w:rsidR="00E01374">
        <w:rPr>
          <w:rFonts w:ascii="Arial" w:hAnsi="Arial" w:cs="Arial"/>
          <w:b/>
          <w:bCs/>
          <w:sz w:val="18"/>
          <w:szCs w:val="18"/>
        </w:rPr>
        <w:t>–</w:t>
      </w:r>
      <w:r w:rsidRPr="009D65E5">
        <w:rPr>
          <w:rFonts w:ascii="Arial" w:hAnsi="Arial" w:cs="Arial"/>
          <w:b/>
          <w:bCs/>
          <w:sz w:val="18"/>
          <w:szCs w:val="18"/>
        </w:rPr>
        <w:t>25 to 2026</w:t>
      </w:r>
      <w:r w:rsidR="00E01374">
        <w:rPr>
          <w:rFonts w:ascii="Arial" w:hAnsi="Arial" w:cs="Arial"/>
          <w:b/>
          <w:bCs/>
          <w:sz w:val="18"/>
          <w:szCs w:val="18"/>
        </w:rPr>
        <w:t>–</w:t>
      </w:r>
      <w:r w:rsidRPr="009D65E5">
        <w:rPr>
          <w:rFonts w:ascii="Arial" w:hAnsi="Arial" w:cs="Arial"/>
          <w:b/>
          <w:bCs/>
          <w:sz w:val="18"/>
          <w:szCs w:val="18"/>
        </w:rPr>
        <w:t>27</w:t>
      </w:r>
    </w:p>
    <w:p w14:paraId="0A0C6E2F" w14:textId="36573305" w:rsidR="00BC63A9" w:rsidRPr="009D65E5" w:rsidRDefault="00BC63A9" w:rsidP="00BC63A9">
      <w:pPr>
        <w:pStyle w:val="ListParagraph"/>
        <w:spacing w:after="0" w:line="240" w:lineRule="auto"/>
        <w:jc w:val="right"/>
        <w:rPr>
          <w:rFonts w:ascii="Arial" w:hAnsi="Arial" w:cs="Arial"/>
          <w:sz w:val="18"/>
          <w:szCs w:val="18"/>
        </w:rPr>
      </w:pPr>
      <w:r w:rsidRPr="009D65E5">
        <w:rPr>
          <w:rFonts w:ascii="Arial" w:hAnsi="Arial" w:cs="Arial"/>
          <w:sz w:val="18"/>
          <w:szCs w:val="18"/>
        </w:rPr>
        <w:t>2024</w:t>
      </w:r>
      <w:r w:rsidR="00E01374">
        <w:rPr>
          <w:rFonts w:ascii="Arial" w:hAnsi="Arial" w:cs="Arial"/>
          <w:sz w:val="18"/>
          <w:szCs w:val="18"/>
        </w:rPr>
        <w:t>–</w:t>
      </w:r>
      <w:r w:rsidRPr="009D65E5">
        <w:rPr>
          <w:rFonts w:ascii="Arial" w:hAnsi="Arial" w:cs="Arial"/>
          <w:sz w:val="18"/>
          <w:szCs w:val="18"/>
        </w:rPr>
        <w:t>25 Annual Reporting</w:t>
      </w:r>
    </w:p>
    <w:p w14:paraId="19EBB71A" w14:textId="77777777" w:rsidR="00BC63A9" w:rsidRPr="009D65E5" w:rsidRDefault="00BC63A9" w:rsidP="009D65E5">
      <w:pPr>
        <w:pStyle w:val="ListParagraph"/>
        <w:spacing w:after="0" w:line="240" w:lineRule="auto"/>
        <w:jc w:val="right"/>
        <w:rPr>
          <w:rFonts w:ascii="Arial" w:hAnsi="Arial" w:cs="Arial"/>
          <w:sz w:val="18"/>
          <w:szCs w:val="18"/>
        </w:rPr>
      </w:pPr>
      <w:r w:rsidRPr="009D65E5">
        <w:rPr>
          <w:rFonts w:ascii="Arial" w:hAnsi="Arial" w:cs="Arial"/>
          <w:sz w:val="18"/>
          <w:szCs w:val="18"/>
        </w:rPr>
        <w:t xml:space="preserve">Department of </w:t>
      </w:r>
      <w:r w:rsidR="004171BA">
        <w:rPr>
          <w:rFonts w:ascii="Arial" w:hAnsi="Arial" w:cs="Arial"/>
          <w:sz w:val="18"/>
          <w:szCs w:val="18"/>
        </w:rPr>
        <w:t>the Premier and Cabinet</w:t>
      </w:r>
    </w:p>
    <w:p w14:paraId="02DC1280" w14:textId="77777777" w:rsidR="00BC63A9" w:rsidRPr="006A2C28" w:rsidRDefault="00BC63A9" w:rsidP="00BC63A9">
      <w:pPr>
        <w:keepNext/>
        <w:keepLines/>
        <w:spacing w:before="240" w:after="0"/>
        <w:ind w:firstLine="720"/>
        <w:outlineLvl w:val="0"/>
        <w:rPr>
          <w:rFonts w:eastAsiaTheme="majorEastAsia"/>
          <w:b/>
          <w:sz w:val="36"/>
          <w:szCs w:val="36"/>
        </w:rPr>
      </w:pPr>
      <w:r w:rsidRPr="00BC63A9">
        <w:rPr>
          <w:rFonts w:ascii="Wingdings" w:eastAsiaTheme="majorEastAsia" w:hAnsi="Wingdings"/>
          <w:b/>
          <w:bCs/>
          <w:color w:val="C1363A"/>
          <w:sz w:val="36"/>
          <w:szCs w:val="36"/>
        </w:rPr>
        <w:sym w:font="Wingdings" w:char="F06C"/>
      </w:r>
      <w:r w:rsidRPr="00BC63A9">
        <w:rPr>
          <w:rFonts w:ascii="Wingdings" w:eastAsiaTheme="majorEastAsia" w:hAnsi="Wingdings"/>
          <w:b/>
          <w:bCs/>
          <w:color w:val="C1363A"/>
          <w:sz w:val="36"/>
          <w:szCs w:val="36"/>
        </w:rPr>
        <w:t xml:space="preserve"> </w:t>
      </w:r>
      <w:r w:rsidRPr="00BC63A9">
        <w:rPr>
          <w:rFonts w:ascii="Arial Black" w:eastAsiaTheme="majorEastAsia" w:hAnsi="Arial Black"/>
          <w:b/>
          <w:bCs/>
          <w:color w:val="C1363A"/>
          <w:sz w:val="36"/>
          <w:szCs w:val="36"/>
        </w:rPr>
        <w:t>Focus Area 2</w:t>
      </w:r>
      <w:r w:rsidRPr="00BC63A9">
        <w:rPr>
          <w:rFonts w:eastAsiaTheme="majorEastAsia"/>
          <w:b/>
          <w:color w:val="C1363A"/>
          <w:sz w:val="36"/>
          <w:szCs w:val="36"/>
        </w:rPr>
        <w:t xml:space="preserve">: </w:t>
      </w:r>
      <w:r w:rsidRPr="006A2C28">
        <w:rPr>
          <w:rFonts w:eastAsiaTheme="majorEastAsia"/>
          <w:b/>
          <w:sz w:val="36"/>
          <w:szCs w:val="36"/>
        </w:rPr>
        <w:t>D</w:t>
      </w:r>
      <w:r>
        <w:rPr>
          <w:rFonts w:eastAsiaTheme="majorEastAsia"/>
          <w:b/>
          <w:sz w:val="36"/>
          <w:szCs w:val="36"/>
        </w:rPr>
        <w:t>rive Diversity and Inclusion across the Public Sector</w:t>
      </w:r>
      <w:r w:rsidRPr="006A2C28">
        <w:rPr>
          <w:rFonts w:eastAsiaTheme="majorEastAsia"/>
          <w:b/>
          <w:sz w:val="36"/>
          <w:szCs w:val="36"/>
        </w:rPr>
        <w:t xml:space="preserve"> </w:t>
      </w:r>
    </w:p>
    <w:p w14:paraId="4FBE78DD" w14:textId="77777777" w:rsidR="00BC63A9" w:rsidRPr="006A2C28" w:rsidRDefault="00BC63A9" w:rsidP="00BC63A9">
      <w:pPr>
        <w:spacing w:after="0" w:line="240" w:lineRule="auto"/>
      </w:pPr>
    </w:p>
    <w:p w14:paraId="592F9140" w14:textId="77777777" w:rsidR="009923F8" w:rsidRDefault="009923F8" w:rsidP="003A0A7D">
      <w:pPr>
        <w:pStyle w:val="ListParagraph"/>
        <w:spacing w:after="0" w:line="240" w:lineRule="auto"/>
        <w:rPr>
          <w:rFonts w:ascii="Arial" w:eastAsia="Times New Roman" w:hAnsi="Arial" w:cs="Arial"/>
          <w:sz w:val="24"/>
          <w:szCs w:val="24"/>
        </w:rPr>
      </w:pPr>
      <w:r w:rsidRPr="009923F8">
        <w:rPr>
          <w:rFonts w:ascii="Arial" w:eastAsia="Times New Roman" w:hAnsi="Arial" w:cs="Arial"/>
          <w:sz w:val="24"/>
          <w:szCs w:val="24"/>
        </w:rPr>
        <w:t xml:space="preserve">A diverse and inclusive workforce that is representative of the community we serve is essential to ensuring we are a culturally responsive government. </w:t>
      </w:r>
    </w:p>
    <w:p w14:paraId="10E4225D" w14:textId="77777777" w:rsidR="004171BA" w:rsidRPr="009D65E5" w:rsidRDefault="004171BA" w:rsidP="003A0A7D">
      <w:pPr>
        <w:pStyle w:val="ListParagraph"/>
        <w:spacing w:after="0" w:line="240" w:lineRule="auto"/>
        <w:rPr>
          <w:rFonts w:ascii="Arial" w:eastAsia="Times New Roman" w:hAnsi="Arial" w:cs="Arial"/>
          <w:i/>
          <w:iCs/>
        </w:rPr>
      </w:pPr>
    </w:p>
    <w:tbl>
      <w:tblPr>
        <w:tblStyle w:val="TableGrid"/>
        <w:tblpPr w:leftFromText="180" w:rightFromText="180" w:vertAnchor="text" w:tblpX="279" w:tblpY="1"/>
        <w:tblOverlap w:val="never"/>
        <w:tblW w:w="5000" w:type="pct"/>
        <w:tblLayout w:type="fixed"/>
        <w:tblLook w:val="04A0" w:firstRow="1" w:lastRow="0" w:firstColumn="1" w:lastColumn="0" w:noHBand="0" w:noVBand="1"/>
      </w:tblPr>
      <w:tblGrid>
        <w:gridCol w:w="4960"/>
        <w:gridCol w:w="1561"/>
        <w:gridCol w:w="8464"/>
      </w:tblGrid>
      <w:tr w:rsidR="00225D89" w:rsidRPr="00BC63A9" w14:paraId="700E79E8" w14:textId="77777777" w:rsidTr="004171BA">
        <w:trPr>
          <w:trHeight w:val="866"/>
          <w:tblHeader/>
        </w:trPr>
        <w:tc>
          <w:tcPr>
            <w:tcW w:w="1655" w:type="pct"/>
            <w:shd w:val="clear" w:color="auto" w:fill="D9D9D9" w:themeFill="background1" w:themeFillShade="D9"/>
            <w:vAlign w:val="center"/>
          </w:tcPr>
          <w:p w14:paraId="1B0702A9" w14:textId="77777777" w:rsidR="00225D89" w:rsidRPr="00BC63A9" w:rsidRDefault="00225D89" w:rsidP="004171BA">
            <w:pPr>
              <w:autoSpaceDE w:val="0"/>
              <w:autoSpaceDN w:val="0"/>
              <w:adjustRightInd w:val="0"/>
              <w:spacing w:after="120"/>
              <w:rPr>
                <w:rFonts w:ascii="Arial" w:hAnsi="Arial"/>
                <w:b/>
                <w:sz w:val="20"/>
                <w:szCs w:val="20"/>
              </w:rPr>
            </w:pPr>
            <w:r w:rsidRPr="00BC63A9">
              <w:rPr>
                <w:rFonts w:ascii="Arial" w:hAnsi="Arial"/>
                <w:b/>
                <w:sz w:val="20"/>
                <w:szCs w:val="20"/>
              </w:rPr>
              <w:t xml:space="preserve">Agency </w:t>
            </w:r>
            <w:r>
              <w:rPr>
                <w:rFonts w:ascii="Arial" w:hAnsi="Arial"/>
                <w:b/>
                <w:sz w:val="20"/>
                <w:szCs w:val="20"/>
              </w:rPr>
              <w:t>actions</w:t>
            </w:r>
            <w:r w:rsidRPr="00BC63A9">
              <w:rPr>
                <w:rFonts w:ascii="Arial" w:hAnsi="Arial"/>
                <w:b/>
                <w:sz w:val="20"/>
                <w:szCs w:val="20"/>
              </w:rPr>
              <w:t xml:space="preserve"> supporting </w:t>
            </w:r>
            <w:r w:rsidRPr="00BC63A9">
              <w:rPr>
                <w:rFonts w:ascii="Arial" w:hAnsi="Arial"/>
                <w:b/>
                <w:color w:val="C1363A"/>
                <w:sz w:val="20"/>
                <w:szCs w:val="20"/>
              </w:rPr>
              <w:t>Focus Area 2</w:t>
            </w:r>
          </w:p>
        </w:tc>
        <w:tc>
          <w:tcPr>
            <w:tcW w:w="521" w:type="pct"/>
            <w:shd w:val="clear" w:color="auto" w:fill="D9D9D9" w:themeFill="background1" w:themeFillShade="D9"/>
            <w:vAlign w:val="center"/>
          </w:tcPr>
          <w:p w14:paraId="76FDBBB2" w14:textId="0AB70C8B" w:rsidR="00225D89" w:rsidRPr="00BC63A9" w:rsidRDefault="00225D89" w:rsidP="004171BA">
            <w:pPr>
              <w:autoSpaceDE w:val="0"/>
              <w:autoSpaceDN w:val="0"/>
              <w:adjustRightInd w:val="0"/>
              <w:spacing w:after="120"/>
              <w:jc w:val="center"/>
              <w:rPr>
                <w:rFonts w:ascii="Arial" w:hAnsi="Arial"/>
                <w:b/>
                <w:sz w:val="20"/>
                <w:szCs w:val="20"/>
              </w:rPr>
            </w:pPr>
            <w:r w:rsidRPr="00BC63A9">
              <w:rPr>
                <w:rFonts w:ascii="Arial" w:hAnsi="Arial"/>
                <w:b/>
                <w:sz w:val="20"/>
                <w:szCs w:val="20"/>
              </w:rPr>
              <w:t>Progress</w:t>
            </w:r>
            <w:r>
              <w:rPr>
                <w:rFonts w:ascii="Arial" w:hAnsi="Arial"/>
                <w:b/>
                <w:sz w:val="20"/>
                <w:szCs w:val="20"/>
              </w:rPr>
              <w:t>/</w:t>
            </w:r>
            <w:r w:rsidRPr="00BC63A9">
              <w:rPr>
                <w:rFonts w:ascii="Arial" w:hAnsi="Arial"/>
                <w:b/>
                <w:sz w:val="20"/>
                <w:szCs w:val="20"/>
              </w:rPr>
              <w:t xml:space="preserve"> status for 202</w:t>
            </w:r>
            <w:r>
              <w:rPr>
                <w:rFonts w:ascii="Arial" w:hAnsi="Arial"/>
                <w:b/>
                <w:sz w:val="20"/>
                <w:szCs w:val="20"/>
              </w:rPr>
              <w:t>4</w:t>
            </w:r>
            <w:r w:rsidR="00E01374">
              <w:rPr>
                <w:rFonts w:ascii="Arial" w:hAnsi="Arial"/>
                <w:b/>
                <w:sz w:val="20"/>
                <w:szCs w:val="20"/>
              </w:rPr>
              <w:t>–</w:t>
            </w:r>
            <w:r w:rsidRPr="00BC63A9">
              <w:rPr>
                <w:rFonts w:ascii="Arial" w:hAnsi="Arial"/>
                <w:b/>
                <w:sz w:val="20"/>
                <w:szCs w:val="20"/>
              </w:rPr>
              <w:t>2</w:t>
            </w:r>
            <w:r>
              <w:rPr>
                <w:rFonts w:ascii="Arial" w:hAnsi="Arial"/>
                <w:b/>
                <w:sz w:val="20"/>
                <w:szCs w:val="20"/>
              </w:rPr>
              <w:t>5</w:t>
            </w:r>
          </w:p>
        </w:tc>
        <w:tc>
          <w:tcPr>
            <w:tcW w:w="2824" w:type="pct"/>
            <w:shd w:val="clear" w:color="auto" w:fill="D9D9D9" w:themeFill="background1" w:themeFillShade="D9"/>
            <w:vAlign w:val="center"/>
          </w:tcPr>
          <w:p w14:paraId="22DC1496" w14:textId="03092324" w:rsidR="00225D89" w:rsidRPr="000D2181" w:rsidRDefault="00225D89" w:rsidP="004171BA">
            <w:pPr>
              <w:autoSpaceDE w:val="0"/>
              <w:autoSpaceDN w:val="0"/>
              <w:adjustRightInd w:val="0"/>
              <w:spacing w:after="120"/>
              <w:rPr>
                <w:rFonts w:ascii="Arial" w:hAnsi="Arial"/>
                <w:b/>
                <w:sz w:val="20"/>
                <w:szCs w:val="20"/>
              </w:rPr>
            </w:pPr>
            <w:r w:rsidRPr="00BC63A9">
              <w:rPr>
                <w:rFonts w:ascii="Arial" w:hAnsi="Arial"/>
                <w:b/>
                <w:sz w:val="20"/>
                <w:szCs w:val="20"/>
              </w:rPr>
              <w:t>Outcomes achieved for people from culturally and linguistically diverse backgrounds</w:t>
            </w:r>
          </w:p>
        </w:tc>
      </w:tr>
      <w:tr w:rsidR="00225D89" w:rsidRPr="00BC63A9" w14:paraId="25962F27" w14:textId="77777777" w:rsidTr="004171BA">
        <w:trPr>
          <w:trHeight w:val="790"/>
        </w:trPr>
        <w:tc>
          <w:tcPr>
            <w:tcW w:w="1655" w:type="pct"/>
            <w:vAlign w:val="center"/>
          </w:tcPr>
          <w:p w14:paraId="7667BB0E" w14:textId="11876FB6" w:rsidR="00225D89" w:rsidRPr="002F4B24" w:rsidRDefault="005E3113" w:rsidP="004171BA">
            <w:pPr>
              <w:pStyle w:val="Heading1"/>
              <w:numPr>
                <w:ilvl w:val="0"/>
                <w:numId w:val="0"/>
              </w:numPr>
              <w:rPr>
                <w:rFonts w:ascii="Arial" w:hAnsi="Arial"/>
                <w:b w:val="0"/>
                <w:bCs/>
                <w:sz w:val="18"/>
                <w:szCs w:val="18"/>
              </w:rPr>
            </w:pPr>
            <w:r w:rsidRPr="002F4B24">
              <w:rPr>
                <w:rFonts w:ascii="Arial" w:hAnsi="Arial"/>
                <w:sz w:val="18"/>
                <w:szCs w:val="18"/>
              </w:rPr>
              <w:t>All Agencies Action</w:t>
            </w:r>
            <w:r w:rsidRPr="002F4B24">
              <w:rPr>
                <w:rFonts w:ascii="Arial" w:hAnsi="Arial"/>
                <w:b w:val="0"/>
                <w:bCs/>
                <w:sz w:val="18"/>
                <w:szCs w:val="18"/>
              </w:rPr>
              <w:t xml:space="preserve"> – Monitor data </w:t>
            </w:r>
            <w:r w:rsidRPr="002F4B24">
              <w:rPr>
                <w:rFonts w:ascii="Arial" w:hAnsi="Arial"/>
                <w:b w:val="0"/>
                <w:bCs/>
                <w:sz w:val="18"/>
                <w:szCs w:val="18"/>
                <w:lang w:val="en-US"/>
              </w:rPr>
              <w:t>related to culturally and linguistically diverse employee representation and deliver strategies to achieve the whole-of-</w:t>
            </w:r>
            <w:r w:rsidR="00E01374">
              <w:rPr>
                <w:rFonts w:ascii="Arial" w:hAnsi="Arial"/>
                <w:b w:val="0"/>
                <w:bCs/>
                <w:sz w:val="18"/>
                <w:szCs w:val="18"/>
                <w:lang w:val="en-US"/>
              </w:rPr>
              <w:t>G</w:t>
            </w:r>
            <w:r w:rsidRPr="002F4B24">
              <w:rPr>
                <w:rFonts w:ascii="Arial" w:hAnsi="Arial"/>
                <w:b w:val="0"/>
                <w:bCs/>
                <w:sz w:val="18"/>
                <w:szCs w:val="18"/>
                <w:lang w:val="en-US"/>
              </w:rPr>
              <w:t>overnment target of 12 per cent for employees who speak a language other than English at home</w:t>
            </w:r>
            <w:r w:rsidR="001C18B0" w:rsidRPr="002F4B24">
              <w:rPr>
                <w:rFonts w:ascii="Arial" w:hAnsi="Arial"/>
                <w:b w:val="0"/>
                <w:bCs/>
                <w:sz w:val="18"/>
                <w:szCs w:val="18"/>
                <w:lang w:val="en-US"/>
              </w:rPr>
              <w:t>.</w:t>
            </w:r>
          </w:p>
        </w:tc>
        <w:tc>
          <w:tcPr>
            <w:tcW w:w="521" w:type="pct"/>
          </w:tcPr>
          <w:p w14:paraId="047FF902" w14:textId="3DCC0683" w:rsidR="00225D89" w:rsidRPr="002F4B24" w:rsidRDefault="00000000" w:rsidP="004171BA">
            <w:pPr>
              <w:pStyle w:val="Heading1"/>
              <w:numPr>
                <w:ilvl w:val="0"/>
                <w:numId w:val="0"/>
              </w:numPr>
              <w:rPr>
                <w:rFonts w:ascii="Arial" w:hAnsi="Arial"/>
                <w:bCs/>
                <w:sz w:val="18"/>
                <w:szCs w:val="18"/>
              </w:rPr>
            </w:pPr>
            <w:sdt>
              <w:sdtPr>
                <w:rPr>
                  <w:bCs/>
                  <w:sz w:val="18"/>
                  <w:szCs w:val="18"/>
                </w:rPr>
                <w:alias w:val="Final Status"/>
                <w:tag w:val="Final Status"/>
                <w:id w:val="-1871443973"/>
                <w:placeholder>
                  <w:docPart w:val="C476C36E1704492E8CD0C01477EFE3FD"/>
                </w:placeholder>
                <w:dropDownList>
                  <w:listItem w:displayText="Choose a final status" w:value="Choose a final status"/>
                  <w:listItem w:displayText="Delivered" w:value="Delivered"/>
                  <w:listItem w:displayText="Not delivered" w:value="Not delivered"/>
                </w:dropDownList>
              </w:sdtPr>
              <w:sdtContent>
                <w:r w:rsidR="00B85385" w:rsidRPr="002F4B24">
                  <w:rPr>
                    <w:rFonts w:ascii="Arial" w:hAnsi="Arial"/>
                    <w:bCs/>
                    <w:sz w:val="18"/>
                    <w:szCs w:val="18"/>
                  </w:rPr>
                  <w:t>Delivered</w:t>
                </w:r>
              </w:sdtContent>
            </w:sdt>
            <w:r w:rsidR="00225D89" w:rsidRPr="002F4B24" w:rsidDel="00587F58">
              <w:rPr>
                <w:rFonts w:ascii="Arial" w:hAnsi="Arial"/>
                <w:bCs/>
                <w:sz w:val="18"/>
                <w:szCs w:val="18"/>
              </w:rPr>
              <w:t xml:space="preserve"> </w:t>
            </w:r>
          </w:p>
        </w:tc>
        <w:tc>
          <w:tcPr>
            <w:tcW w:w="2824" w:type="pct"/>
          </w:tcPr>
          <w:p w14:paraId="794E4052" w14:textId="77777777" w:rsidR="00C91015" w:rsidRPr="002F4B24" w:rsidRDefault="00B85385" w:rsidP="00C91015">
            <w:pPr>
              <w:pStyle w:val="Heading1"/>
              <w:numPr>
                <w:ilvl w:val="0"/>
                <w:numId w:val="0"/>
              </w:numPr>
              <w:spacing w:after="0"/>
              <w:ind w:left="432" w:hanging="432"/>
              <w:jc w:val="both"/>
              <w:rPr>
                <w:rFonts w:ascii="Arial" w:hAnsi="Arial"/>
                <w:b w:val="0"/>
                <w:i/>
                <w:iCs/>
                <w:sz w:val="18"/>
                <w:szCs w:val="18"/>
              </w:rPr>
            </w:pPr>
            <w:r w:rsidRPr="002F4B24">
              <w:rPr>
                <w:rFonts w:ascii="Arial" w:hAnsi="Arial"/>
                <w:b w:val="0"/>
                <w:sz w:val="18"/>
                <w:szCs w:val="18"/>
              </w:rPr>
              <w:t xml:space="preserve">The Department of the Premier and Cabinet </w:t>
            </w:r>
            <w:r w:rsidR="00110CC5" w:rsidRPr="002F4B24">
              <w:rPr>
                <w:rFonts w:ascii="Arial" w:hAnsi="Arial"/>
                <w:b w:val="0"/>
                <w:sz w:val="18"/>
                <w:szCs w:val="18"/>
              </w:rPr>
              <w:t xml:space="preserve">(DPC) </w:t>
            </w:r>
            <w:r w:rsidRPr="002F4B24">
              <w:rPr>
                <w:rFonts w:ascii="Arial" w:hAnsi="Arial"/>
                <w:b w:val="0"/>
                <w:sz w:val="18"/>
                <w:szCs w:val="18"/>
              </w:rPr>
              <w:t>undertakes</w:t>
            </w:r>
            <w:r w:rsidR="00C364C5" w:rsidRPr="002F4B24">
              <w:rPr>
                <w:rFonts w:ascii="Arial" w:hAnsi="Arial"/>
                <w:b w:val="0"/>
                <w:sz w:val="18"/>
                <w:szCs w:val="18"/>
              </w:rPr>
              <w:t xml:space="preserve"> an</w:t>
            </w:r>
            <w:r w:rsidRPr="002F4B24">
              <w:rPr>
                <w:rFonts w:ascii="Arial" w:hAnsi="Arial"/>
                <w:b w:val="0"/>
                <w:sz w:val="18"/>
                <w:szCs w:val="18"/>
              </w:rPr>
              <w:t xml:space="preserve"> annual </w:t>
            </w:r>
            <w:r w:rsidRPr="002F4B24">
              <w:rPr>
                <w:rFonts w:ascii="Arial" w:hAnsi="Arial"/>
                <w:b w:val="0"/>
                <w:i/>
                <w:iCs/>
                <w:sz w:val="18"/>
                <w:szCs w:val="18"/>
              </w:rPr>
              <w:t xml:space="preserve">Equity and Diversity </w:t>
            </w:r>
          </w:p>
          <w:p w14:paraId="3C806B03" w14:textId="740547F6" w:rsidR="00225D89" w:rsidRPr="002F4B24" w:rsidRDefault="00B85385" w:rsidP="00654B7B">
            <w:pPr>
              <w:pStyle w:val="Heading1"/>
              <w:numPr>
                <w:ilvl w:val="0"/>
                <w:numId w:val="0"/>
              </w:numPr>
              <w:spacing w:after="0"/>
              <w:ind w:left="29" w:hanging="29"/>
              <w:jc w:val="both"/>
              <w:rPr>
                <w:rFonts w:ascii="Arial" w:hAnsi="Arial"/>
                <w:b w:val="0"/>
                <w:i/>
                <w:iCs/>
                <w:sz w:val="18"/>
                <w:szCs w:val="18"/>
              </w:rPr>
            </w:pPr>
            <w:r w:rsidRPr="002F4B24">
              <w:rPr>
                <w:rFonts w:ascii="Arial" w:hAnsi="Arial"/>
                <w:b w:val="0"/>
                <w:i/>
                <w:iCs/>
                <w:sz w:val="18"/>
                <w:szCs w:val="18"/>
              </w:rPr>
              <w:t xml:space="preserve">Audit </w:t>
            </w:r>
            <w:r w:rsidRPr="002F4B24">
              <w:rPr>
                <w:rFonts w:ascii="Arial" w:hAnsi="Arial"/>
                <w:b w:val="0"/>
                <w:sz w:val="18"/>
                <w:szCs w:val="18"/>
              </w:rPr>
              <w:t xml:space="preserve">(under the </w:t>
            </w:r>
            <w:r w:rsidRPr="002F4B24">
              <w:rPr>
                <w:rFonts w:ascii="Arial" w:hAnsi="Arial"/>
                <w:b w:val="0"/>
                <w:i/>
                <w:iCs/>
                <w:sz w:val="18"/>
                <w:szCs w:val="18"/>
              </w:rPr>
              <w:t>Public Sector Act 2022</w:t>
            </w:r>
            <w:r w:rsidRPr="002F4B24">
              <w:rPr>
                <w:rFonts w:ascii="Arial" w:hAnsi="Arial"/>
                <w:b w:val="0"/>
                <w:sz w:val="18"/>
                <w:szCs w:val="18"/>
              </w:rPr>
              <w:t>)</w:t>
            </w:r>
            <w:r w:rsidR="00C364C5" w:rsidRPr="002F4B24">
              <w:rPr>
                <w:rFonts w:ascii="Arial" w:hAnsi="Arial"/>
                <w:b w:val="0"/>
                <w:sz w:val="18"/>
                <w:szCs w:val="18"/>
              </w:rPr>
              <w:t xml:space="preserve">. </w:t>
            </w:r>
            <w:r w:rsidR="004B2698">
              <w:rPr>
                <w:rFonts w:ascii="Arial" w:hAnsi="Arial"/>
                <w:b w:val="0"/>
                <w:sz w:val="18"/>
                <w:szCs w:val="18"/>
              </w:rPr>
              <w:t>As</w:t>
            </w:r>
            <w:r w:rsidR="00C364C5" w:rsidRPr="002F4B24">
              <w:rPr>
                <w:rFonts w:ascii="Arial" w:hAnsi="Arial"/>
                <w:b w:val="0"/>
                <w:sz w:val="18"/>
                <w:szCs w:val="18"/>
              </w:rPr>
              <w:t xml:space="preserve"> at </w:t>
            </w:r>
            <w:r w:rsidRPr="002F4B24">
              <w:rPr>
                <w:rFonts w:ascii="Arial" w:hAnsi="Arial"/>
                <w:b w:val="0"/>
                <w:sz w:val="18"/>
                <w:szCs w:val="18"/>
              </w:rPr>
              <w:t>September 2024</w:t>
            </w:r>
            <w:r w:rsidR="00C364C5" w:rsidRPr="002F4B24">
              <w:rPr>
                <w:rFonts w:ascii="Arial" w:hAnsi="Arial"/>
                <w:b w:val="0"/>
                <w:sz w:val="18"/>
                <w:szCs w:val="18"/>
              </w:rPr>
              <w:t xml:space="preserve">, </w:t>
            </w:r>
            <w:r w:rsidRPr="002F4B24">
              <w:rPr>
                <w:rFonts w:ascii="Arial" w:hAnsi="Arial"/>
                <w:b w:val="0"/>
                <w:sz w:val="18"/>
                <w:szCs w:val="18"/>
              </w:rPr>
              <w:t>3.81</w:t>
            </w:r>
            <w:r w:rsidR="00C364C5" w:rsidRPr="002F4B24">
              <w:rPr>
                <w:rFonts w:ascii="Arial" w:hAnsi="Arial"/>
                <w:b w:val="0"/>
                <w:sz w:val="18"/>
                <w:szCs w:val="18"/>
              </w:rPr>
              <w:t xml:space="preserve"> per cent</w:t>
            </w:r>
            <w:r w:rsidRPr="002F4B24">
              <w:rPr>
                <w:rFonts w:ascii="Arial" w:hAnsi="Arial"/>
                <w:b w:val="0"/>
                <w:sz w:val="18"/>
                <w:szCs w:val="18"/>
              </w:rPr>
              <w:t xml:space="preserve"> of employees</w:t>
            </w:r>
            <w:r w:rsidR="00654B7B">
              <w:rPr>
                <w:rFonts w:ascii="Arial" w:hAnsi="Arial"/>
                <w:b w:val="0"/>
                <w:sz w:val="18"/>
                <w:szCs w:val="18"/>
              </w:rPr>
              <w:t xml:space="preserve"> </w:t>
            </w:r>
            <w:r w:rsidRPr="002F4B24">
              <w:rPr>
                <w:rFonts w:ascii="Arial" w:hAnsi="Arial"/>
                <w:b w:val="0"/>
                <w:sz w:val="18"/>
                <w:szCs w:val="18"/>
              </w:rPr>
              <w:t>identified via Minimum Obligatory Human Resource Information (MOHRI) as speaking a language other than English at home</w:t>
            </w:r>
            <w:r w:rsidR="00C364C5" w:rsidRPr="002F4B24">
              <w:rPr>
                <w:rFonts w:ascii="Arial" w:hAnsi="Arial"/>
                <w:b w:val="0"/>
                <w:sz w:val="18"/>
                <w:szCs w:val="18"/>
              </w:rPr>
              <w:t xml:space="preserve">. This is lower than the voluntary self nominated disclosure of </w:t>
            </w:r>
            <w:r w:rsidRPr="002F4B24">
              <w:rPr>
                <w:rFonts w:ascii="Arial" w:hAnsi="Arial"/>
                <w:b w:val="0"/>
                <w:sz w:val="18"/>
                <w:szCs w:val="18"/>
              </w:rPr>
              <w:t>11</w:t>
            </w:r>
            <w:r w:rsidR="00C364C5" w:rsidRPr="002F4B24">
              <w:rPr>
                <w:rFonts w:ascii="Arial" w:hAnsi="Arial"/>
                <w:b w:val="0"/>
                <w:sz w:val="18"/>
                <w:szCs w:val="18"/>
              </w:rPr>
              <w:t xml:space="preserve"> per cent</w:t>
            </w:r>
            <w:r w:rsidRPr="002F4B24">
              <w:rPr>
                <w:rFonts w:ascii="Arial" w:hAnsi="Arial"/>
                <w:b w:val="0"/>
                <w:sz w:val="18"/>
                <w:szCs w:val="18"/>
              </w:rPr>
              <w:t xml:space="preserve"> </w:t>
            </w:r>
            <w:r w:rsidR="00C364C5" w:rsidRPr="002F4B24">
              <w:rPr>
                <w:rFonts w:ascii="Arial" w:hAnsi="Arial"/>
                <w:b w:val="0"/>
                <w:sz w:val="18"/>
                <w:szCs w:val="18"/>
              </w:rPr>
              <w:t xml:space="preserve">as part of </w:t>
            </w:r>
            <w:r w:rsidRPr="002F4B24">
              <w:rPr>
                <w:rFonts w:ascii="Arial" w:hAnsi="Arial"/>
                <w:b w:val="0"/>
                <w:sz w:val="18"/>
                <w:szCs w:val="18"/>
              </w:rPr>
              <w:t xml:space="preserve">the 2024 Working for Queensland survey. As </w:t>
            </w:r>
            <w:r w:rsidR="005C36D6">
              <w:rPr>
                <w:rFonts w:ascii="Arial" w:hAnsi="Arial"/>
                <w:b w:val="0"/>
                <w:sz w:val="18"/>
                <w:szCs w:val="18"/>
              </w:rPr>
              <w:t>at</w:t>
            </w:r>
            <w:r w:rsidRPr="002F4B24">
              <w:rPr>
                <w:rFonts w:ascii="Arial" w:hAnsi="Arial"/>
                <w:b w:val="0"/>
                <w:sz w:val="18"/>
                <w:szCs w:val="18"/>
              </w:rPr>
              <w:t xml:space="preserve"> June 2025, MOHRI data shows an increase to 8.27</w:t>
            </w:r>
            <w:r w:rsidR="00C364C5" w:rsidRPr="002F4B24">
              <w:rPr>
                <w:rFonts w:ascii="Arial" w:hAnsi="Arial"/>
                <w:b w:val="0"/>
                <w:sz w:val="18"/>
                <w:szCs w:val="18"/>
              </w:rPr>
              <w:t xml:space="preserve"> per cent</w:t>
            </w:r>
            <w:r w:rsidRPr="002F4B24">
              <w:rPr>
                <w:rFonts w:ascii="Arial" w:hAnsi="Arial"/>
                <w:b w:val="0"/>
                <w:sz w:val="18"/>
                <w:szCs w:val="18"/>
              </w:rPr>
              <w:t xml:space="preserve">. </w:t>
            </w:r>
            <w:r w:rsidR="00C364C5" w:rsidRPr="002F4B24">
              <w:rPr>
                <w:rFonts w:ascii="Arial" w:hAnsi="Arial"/>
                <w:b w:val="0"/>
                <w:sz w:val="18"/>
                <w:szCs w:val="18"/>
              </w:rPr>
              <w:t xml:space="preserve">The </w:t>
            </w:r>
            <w:r w:rsidR="00110CC5" w:rsidRPr="002F4B24">
              <w:rPr>
                <w:rFonts w:ascii="Arial" w:hAnsi="Arial"/>
                <w:b w:val="0"/>
                <w:sz w:val="18"/>
                <w:szCs w:val="18"/>
              </w:rPr>
              <w:t>DPC</w:t>
            </w:r>
            <w:r w:rsidR="00C364C5" w:rsidRPr="002F4B24">
              <w:rPr>
                <w:rFonts w:ascii="Arial" w:hAnsi="Arial"/>
                <w:b w:val="0"/>
                <w:sz w:val="18"/>
                <w:szCs w:val="18"/>
              </w:rPr>
              <w:t xml:space="preserve"> </w:t>
            </w:r>
            <w:r w:rsidRPr="002F4B24">
              <w:rPr>
                <w:rFonts w:ascii="Arial" w:hAnsi="Arial"/>
                <w:b w:val="0"/>
                <w:sz w:val="18"/>
                <w:szCs w:val="18"/>
              </w:rPr>
              <w:t>Equity and Diversity Action Plan focuses on embedding equity and diversity principles into</w:t>
            </w:r>
            <w:r w:rsidR="00110CC5" w:rsidRPr="002F4B24">
              <w:rPr>
                <w:rFonts w:ascii="Arial" w:hAnsi="Arial"/>
                <w:b w:val="0"/>
                <w:sz w:val="18"/>
                <w:szCs w:val="18"/>
              </w:rPr>
              <w:t xml:space="preserve"> </w:t>
            </w:r>
            <w:r w:rsidRPr="002F4B24">
              <w:rPr>
                <w:rFonts w:ascii="Arial" w:hAnsi="Arial"/>
                <w:b w:val="0"/>
                <w:sz w:val="18"/>
                <w:szCs w:val="18"/>
              </w:rPr>
              <w:t>recruitment and selection processes to sustain this progress.</w:t>
            </w:r>
          </w:p>
        </w:tc>
      </w:tr>
      <w:tr w:rsidR="005E3113" w:rsidRPr="00BC63A9" w14:paraId="1D5F1ADF" w14:textId="77777777" w:rsidTr="004171BA">
        <w:trPr>
          <w:trHeight w:val="790"/>
        </w:trPr>
        <w:tc>
          <w:tcPr>
            <w:tcW w:w="1655" w:type="pct"/>
            <w:vAlign w:val="center"/>
          </w:tcPr>
          <w:p w14:paraId="0D9BB593" w14:textId="77777777" w:rsidR="005E3113" w:rsidRPr="002F4B24" w:rsidRDefault="00DD719A" w:rsidP="004171BA">
            <w:pPr>
              <w:pStyle w:val="Heading1"/>
              <w:numPr>
                <w:ilvl w:val="0"/>
                <w:numId w:val="0"/>
              </w:numPr>
              <w:rPr>
                <w:rFonts w:ascii="Arial" w:hAnsi="Arial"/>
                <w:b w:val="0"/>
                <w:bCs/>
                <w:sz w:val="18"/>
                <w:szCs w:val="18"/>
              </w:rPr>
            </w:pPr>
            <w:r w:rsidRPr="002F4B24">
              <w:rPr>
                <w:rFonts w:ascii="Arial" w:hAnsi="Arial"/>
                <w:sz w:val="18"/>
                <w:szCs w:val="18"/>
              </w:rPr>
              <w:t>All Agencies Action</w:t>
            </w:r>
            <w:r w:rsidRPr="002F4B24">
              <w:rPr>
                <w:rFonts w:ascii="Arial" w:hAnsi="Arial"/>
                <w:b w:val="0"/>
                <w:bCs/>
                <w:sz w:val="18"/>
                <w:szCs w:val="18"/>
              </w:rPr>
              <w:t xml:space="preserve"> – Monitor Working for Queensland survey results relevant to cultural diversity and inclusion and deliver strategies to improve inclusion for culturaly and linguistically diverse employees, including Australian South Sea Islander peoples.</w:t>
            </w:r>
          </w:p>
        </w:tc>
        <w:tc>
          <w:tcPr>
            <w:tcW w:w="521" w:type="pct"/>
          </w:tcPr>
          <w:p w14:paraId="29918A0B" w14:textId="427B7930" w:rsidR="005E3113" w:rsidRPr="002F4B24" w:rsidRDefault="00000000" w:rsidP="004171BA">
            <w:pPr>
              <w:pStyle w:val="Heading1"/>
              <w:numPr>
                <w:ilvl w:val="0"/>
                <w:numId w:val="0"/>
              </w:numPr>
              <w:rPr>
                <w:rFonts w:ascii="Arial" w:hAnsi="Arial"/>
                <w:bCs/>
                <w:sz w:val="18"/>
                <w:szCs w:val="18"/>
              </w:rPr>
            </w:pPr>
            <w:sdt>
              <w:sdtPr>
                <w:rPr>
                  <w:bCs/>
                  <w:sz w:val="18"/>
                  <w:szCs w:val="18"/>
                </w:rPr>
                <w:alias w:val="Final Status"/>
                <w:tag w:val="Final Status"/>
                <w:id w:val="1643464226"/>
                <w:placeholder>
                  <w:docPart w:val="E69C4B1275C944C897042E6224B31D5C"/>
                </w:placeholder>
                <w:dropDownList>
                  <w:listItem w:displayText="Choose a final status" w:value="Choose a final status"/>
                  <w:listItem w:displayText="Delivered" w:value="Delivered"/>
                  <w:listItem w:displayText="Not delivered" w:value="Not delivered"/>
                </w:dropDownList>
              </w:sdtPr>
              <w:sdtContent>
                <w:r w:rsidR="00E5127B" w:rsidRPr="002F4B24">
                  <w:rPr>
                    <w:rFonts w:ascii="Arial" w:hAnsi="Arial"/>
                    <w:bCs/>
                    <w:sz w:val="18"/>
                    <w:szCs w:val="18"/>
                  </w:rPr>
                  <w:t>Delivered</w:t>
                </w:r>
              </w:sdtContent>
            </w:sdt>
          </w:p>
        </w:tc>
        <w:tc>
          <w:tcPr>
            <w:tcW w:w="2824" w:type="pct"/>
          </w:tcPr>
          <w:p w14:paraId="45D0C609" w14:textId="1B9F29B0" w:rsidR="00E5127B" w:rsidRPr="002F4B24" w:rsidRDefault="00E5127B" w:rsidP="003739A2">
            <w:pPr>
              <w:pStyle w:val="Heading1"/>
              <w:numPr>
                <w:ilvl w:val="0"/>
                <w:numId w:val="0"/>
              </w:numPr>
              <w:spacing w:after="0"/>
              <w:rPr>
                <w:rFonts w:ascii="Arial" w:hAnsi="Arial"/>
                <w:b w:val="0"/>
                <w:sz w:val="18"/>
                <w:szCs w:val="18"/>
              </w:rPr>
            </w:pPr>
            <w:r w:rsidRPr="002F4B24">
              <w:rPr>
                <w:rFonts w:ascii="Arial" w:hAnsi="Arial"/>
                <w:b w:val="0"/>
                <w:sz w:val="18"/>
                <w:szCs w:val="18"/>
              </w:rPr>
              <w:t>In the 2024 Working for Queensland survey, culturally and linguistically diverse employees</w:t>
            </w:r>
            <w:r w:rsidR="00553117">
              <w:rPr>
                <w:rFonts w:ascii="Arial" w:hAnsi="Arial"/>
                <w:b w:val="0"/>
                <w:sz w:val="18"/>
                <w:szCs w:val="18"/>
              </w:rPr>
              <w:t xml:space="preserve"> in DPC</w:t>
            </w:r>
            <w:r w:rsidRPr="002F4B24">
              <w:rPr>
                <w:rFonts w:ascii="Arial" w:hAnsi="Arial"/>
                <w:b w:val="0"/>
                <w:sz w:val="18"/>
                <w:szCs w:val="18"/>
              </w:rPr>
              <w:t xml:space="preserve"> </w:t>
            </w:r>
            <w:r w:rsidR="003739A2">
              <w:rPr>
                <w:rFonts w:ascii="Arial" w:hAnsi="Arial"/>
                <w:b w:val="0"/>
                <w:sz w:val="18"/>
                <w:szCs w:val="18"/>
              </w:rPr>
              <w:t>r</w:t>
            </w:r>
            <w:r w:rsidRPr="002F4B24">
              <w:rPr>
                <w:rFonts w:ascii="Arial" w:hAnsi="Arial"/>
                <w:b w:val="0"/>
                <w:sz w:val="18"/>
                <w:szCs w:val="18"/>
              </w:rPr>
              <w:t>eported the highest engagement scores among</w:t>
            </w:r>
            <w:r w:rsidR="003739A2">
              <w:rPr>
                <w:rFonts w:ascii="Arial" w:hAnsi="Arial"/>
                <w:b w:val="0"/>
                <w:sz w:val="18"/>
                <w:szCs w:val="18"/>
              </w:rPr>
              <w:t xml:space="preserve"> </w:t>
            </w:r>
            <w:r w:rsidRPr="002F4B24">
              <w:rPr>
                <w:rFonts w:ascii="Arial" w:hAnsi="Arial"/>
                <w:b w:val="0"/>
                <w:sz w:val="18"/>
                <w:szCs w:val="18"/>
              </w:rPr>
              <w:t>diversity groups at 85 per cent, compared to 77</w:t>
            </w:r>
            <w:r w:rsidR="00E01374">
              <w:rPr>
                <w:rFonts w:ascii="Arial" w:hAnsi="Arial"/>
                <w:b w:val="0"/>
                <w:sz w:val="18"/>
                <w:szCs w:val="18"/>
              </w:rPr>
              <w:t> </w:t>
            </w:r>
            <w:r w:rsidRPr="002F4B24">
              <w:rPr>
                <w:rFonts w:ascii="Arial" w:hAnsi="Arial"/>
                <w:b w:val="0"/>
                <w:sz w:val="18"/>
                <w:szCs w:val="18"/>
              </w:rPr>
              <w:t>per</w:t>
            </w:r>
            <w:r w:rsidR="00E01374">
              <w:rPr>
                <w:rFonts w:ascii="Arial" w:hAnsi="Arial"/>
                <w:b w:val="0"/>
                <w:sz w:val="18"/>
                <w:szCs w:val="18"/>
              </w:rPr>
              <w:t> </w:t>
            </w:r>
            <w:r w:rsidRPr="002F4B24">
              <w:rPr>
                <w:rFonts w:ascii="Arial" w:hAnsi="Arial"/>
                <w:b w:val="0"/>
                <w:sz w:val="18"/>
                <w:szCs w:val="18"/>
              </w:rPr>
              <w:t xml:space="preserve">cent for all of DPC and 71 per cent for the same cohort across the sector. </w:t>
            </w:r>
          </w:p>
          <w:p w14:paraId="50D24309" w14:textId="77777777" w:rsidR="00E5127B" w:rsidRPr="002F4B24" w:rsidRDefault="00E5127B" w:rsidP="00E5127B">
            <w:pPr>
              <w:pStyle w:val="Heading1"/>
              <w:numPr>
                <w:ilvl w:val="0"/>
                <w:numId w:val="0"/>
              </w:numPr>
              <w:spacing w:after="0"/>
              <w:ind w:left="432" w:hanging="432"/>
              <w:rPr>
                <w:rFonts w:ascii="Arial" w:hAnsi="Arial"/>
                <w:b w:val="0"/>
                <w:sz w:val="18"/>
                <w:szCs w:val="18"/>
              </w:rPr>
            </w:pPr>
          </w:p>
          <w:p w14:paraId="4EC09CF7" w14:textId="3920125A" w:rsidR="00E5127B" w:rsidRPr="002F4B24" w:rsidRDefault="00976875" w:rsidP="00E5127B">
            <w:pPr>
              <w:pStyle w:val="Heading1"/>
              <w:numPr>
                <w:ilvl w:val="0"/>
                <w:numId w:val="0"/>
              </w:numPr>
              <w:spacing w:after="0"/>
              <w:ind w:left="432" w:hanging="432"/>
              <w:rPr>
                <w:rFonts w:ascii="Arial" w:hAnsi="Arial"/>
                <w:b w:val="0"/>
                <w:sz w:val="18"/>
                <w:szCs w:val="18"/>
              </w:rPr>
            </w:pPr>
            <w:r w:rsidRPr="002F4B24">
              <w:rPr>
                <w:rFonts w:ascii="Arial" w:hAnsi="Arial"/>
                <w:b w:val="0"/>
                <w:sz w:val="18"/>
                <w:szCs w:val="18"/>
              </w:rPr>
              <w:t>DPC</w:t>
            </w:r>
            <w:r w:rsidR="00E5127B" w:rsidRPr="002F4B24">
              <w:rPr>
                <w:rFonts w:ascii="Arial" w:hAnsi="Arial"/>
                <w:b w:val="0"/>
                <w:sz w:val="18"/>
                <w:szCs w:val="18"/>
              </w:rPr>
              <w:t xml:space="preserve"> did not receive sufficient </w:t>
            </w:r>
            <w:r w:rsidRPr="002F4B24">
              <w:rPr>
                <w:rFonts w:ascii="Arial" w:hAnsi="Arial"/>
                <w:b w:val="0"/>
                <w:sz w:val="18"/>
                <w:szCs w:val="18"/>
              </w:rPr>
              <w:t xml:space="preserve">Working for Queensland </w:t>
            </w:r>
            <w:r w:rsidR="00E5127B" w:rsidRPr="002F4B24">
              <w:rPr>
                <w:rFonts w:ascii="Arial" w:hAnsi="Arial"/>
                <w:b w:val="0"/>
                <w:sz w:val="18"/>
                <w:szCs w:val="18"/>
              </w:rPr>
              <w:t>responses from Australian South Sea Islander</w:t>
            </w:r>
          </w:p>
          <w:p w14:paraId="4F697FF8" w14:textId="577CCCDA" w:rsidR="005E3113" w:rsidRPr="002F4B24" w:rsidRDefault="00E5127B" w:rsidP="002E0EBD">
            <w:pPr>
              <w:pStyle w:val="Heading1"/>
              <w:numPr>
                <w:ilvl w:val="0"/>
                <w:numId w:val="0"/>
              </w:numPr>
              <w:spacing w:after="0"/>
              <w:ind w:left="432" w:hanging="432"/>
              <w:rPr>
                <w:rFonts w:ascii="Arial" w:hAnsi="Arial"/>
                <w:b w:val="0"/>
                <w:sz w:val="18"/>
                <w:szCs w:val="18"/>
              </w:rPr>
            </w:pPr>
            <w:r w:rsidRPr="002F4B24">
              <w:rPr>
                <w:rFonts w:ascii="Arial" w:hAnsi="Arial"/>
                <w:b w:val="0"/>
                <w:sz w:val="18"/>
                <w:szCs w:val="18"/>
              </w:rPr>
              <w:t>employees to provide insights beyond workforce representation.</w:t>
            </w:r>
          </w:p>
        </w:tc>
      </w:tr>
      <w:tr w:rsidR="005E3113" w:rsidRPr="00BC63A9" w14:paraId="75E5CE69" w14:textId="77777777" w:rsidTr="004171BA">
        <w:trPr>
          <w:trHeight w:val="790"/>
        </w:trPr>
        <w:tc>
          <w:tcPr>
            <w:tcW w:w="1655" w:type="pct"/>
            <w:vAlign w:val="center"/>
          </w:tcPr>
          <w:p w14:paraId="6496A551" w14:textId="77777777" w:rsidR="005E3113" w:rsidRPr="002F4B24" w:rsidRDefault="005636AA" w:rsidP="004171BA">
            <w:pPr>
              <w:pStyle w:val="Heading1"/>
              <w:numPr>
                <w:ilvl w:val="0"/>
                <w:numId w:val="0"/>
              </w:numPr>
              <w:rPr>
                <w:rFonts w:ascii="Arial" w:hAnsi="Arial"/>
                <w:b w:val="0"/>
                <w:bCs/>
                <w:sz w:val="18"/>
                <w:szCs w:val="18"/>
              </w:rPr>
            </w:pPr>
            <w:r w:rsidRPr="002F4B24">
              <w:rPr>
                <w:rFonts w:ascii="Arial" w:hAnsi="Arial"/>
                <w:sz w:val="18"/>
                <w:szCs w:val="18"/>
              </w:rPr>
              <w:t>All Agencies Action</w:t>
            </w:r>
            <w:r w:rsidRPr="002F4B24">
              <w:rPr>
                <w:rFonts w:ascii="Arial" w:hAnsi="Arial"/>
                <w:b w:val="0"/>
                <w:bCs/>
                <w:sz w:val="18"/>
                <w:szCs w:val="18"/>
              </w:rPr>
              <w:t xml:space="preserve"> – Using the </w:t>
            </w:r>
            <w:r w:rsidRPr="002F4B24">
              <w:rPr>
                <w:rFonts w:ascii="Arial" w:hAnsi="Arial"/>
                <w:b w:val="0"/>
                <w:bCs/>
                <w:i/>
                <w:iCs/>
                <w:sz w:val="18"/>
                <w:szCs w:val="18"/>
              </w:rPr>
              <w:t xml:space="preserve">Diversity and Inclusion on Boards Toolkit, </w:t>
            </w:r>
            <w:r w:rsidRPr="002F4B24">
              <w:rPr>
                <w:rFonts w:ascii="Arial" w:hAnsi="Arial"/>
                <w:b w:val="0"/>
                <w:bCs/>
                <w:sz w:val="18"/>
                <w:szCs w:val="18"/>
              </w:rPr>
              <w:t>implement targeted actions to increase the cultural and linguistic diversity of representation on Queensland Government boards.</w:t>
            </w:r>
          </w:p>
        </w:tc>
        <w:tc>
          <w:tcPr>
            <w:tcW w:w="521" w:type="pct"/>
          </w:tcPr>
          <w:p w14:paraId="0250F922" w14:textId="4090B1B1" w:rsidR="005E3113" w:rsidRPr="002F4B24" w:rsidRDefault="00000000" w:rsidP="004171BA">
            <w:pPr>
              <w:pStyle w:val="Heading1"/>
              <w:numPr>
                <w:ilvl w:val="0"/>
                <w:numId w:val="0"/>
              </w:numPr>
              <w:rPr>
                <w:rFonts w:ascii="Arial" w:hAnsi="Arial"/>
                <w:bCs/>
                <w:sz w:val="18"/>
                <w:szCs w:val="18"/>
              </w:rPr>
            </w:pPr>
            <w:sdt>
              <w:sdtPr>
                <w:rPr>
                  <w:bCs/>
                  <w:sz w:val="18"/>
                  <w:szCs w:val="18"/>
                </w:rPr>
                <w:alias w:val="Final Status"/>
                <w:tag w:val="Final Status"/>
                <w:id w:val="-1053147219"/>
                <w:placeholder>
                  <w:docPart w:val="18A7A45526884ABCA23A8586A008633C"/>
                </w:placeholder>
                <w:dropDownList>
                  <w:listItem w:displayText="Choose a final status" w:value="Choose a final status"/>
                  <w:listItem w:displayText="Delivered" w:value="Delivered"/>
                  <w:listItem w:displayText="Not delivered" w:value="Not delivered"/>
                </w:dropDownList>
              </w:sdtPr>
              <w:sdtContent>
                <w:r w:rsidR="00770E25" w:rsidRPr="002F4B24">
                  <w:rPr>
                    <w:rFonts w:ascii="Arial" w:hAnsi="Arial"/>
                    <w:bCs/>
                    <w:sz w:val="18"/>
                    <w:szCs w:val="18"/>
                  </w:rPr>
                  <w:t>Delivered</w:t>
                </w:r>
              </w:sdtContent>
            </w:sdt>
          </w:p>
        </w:tc>
        <w:tc>
          <w:tcPr>
            <w:tcW w:w="2824" w:type="pct"/>
          </w:tcPr>
          <w:p w14:paraId="7772459F" w14:textId="5EA717F0" w:rsidR="008D4AC9" w:rsidRPr="002F4B24" w:rsidRDefault="00501E5F" w:rsidP="008D4AC9">
            <w:pPr>
              <w:rPr>
                <w:rFonts w:ascii="Arial" w:hAnsi="Arial"/>
                <w:sz w:val="18"/>
                <w:szCs w:val="18"/>
                <w:lang w:val="en-AU" w:eastAsia="en-US"/>
              </w:rPr>
            </w:pPr>
            <w:r>
              <w:rPr>
                <w:rFonts w:ascii="Arial" w:hAnsi="Arial"/>
                <w:sz w:val="18"/>
                <w:szCs w:val="18"/>
                <w:lang w:eastAsia="en-US"/>
              </w:rPr>
              <w:t>DPC</w:t>
            </w:r>
            <w:r w:rsidR="008D4AC9" w:rsidRPr="002F4B24">
              <w:rPr>
                <w:rFonts w:ascii="Arial" w:hAnsi="Arial"/>
                <w:sz w:val="18"/>
                <w:szCs w:val="18"/>
                <w:lang w:eastAsia="en-US"/>
              </w:rPr>
              <w:t xml:space="preserve"> </w:t>
            </w:r>
            <w:r w:rsidR="0053244D" w:rsidRPr="002F4B24">
              <w:rPr>
                <w:rFonts w:ascii="Arial" w:hAnsi="Arial"/>
                <w:sz w:val="18"/>
                <w:szCs w:val="18"/>
                <w:lang w:eastAsia="en-US"/>
              </w:rPr>
              <w:t>further</w:t>
            </w:r>
            <w:r w:rsidR="006E6C83" w:rsidRPr="002F4B24">
              <w:rPr>
                <w:rFonts w:ascii="Arial" w:hAnsi="Arial"/>
                <w:sz w:val="18"/>
                <w:szCs w:val="18"/>
                <w:lang w:eastAsia="en-US"/>
              </w:rPr>
              <w:t>s</w:t>
            </w:r>
            <w:r w:rsidR="0053244D" w:rsidRPr="002F4B24">
              <w:rPr>
                <w:rFonts w:ascii="Arial" w:hAnsi="Arial"/>
                <w:sz w:val="18"/>
                <w:szCs w:val="18"/>
                <w:lang w:eastAsia="en-US"/>
              </w:rPr>
              <w:t xml:space="preserve"> opportunities </w:t>
            </w:r>
            <w:r w:rsidR="008D4AC9" w:rsidRPr="002F4B24">
              <w:rPr>
                <w:rFonts w:ascii="Arial" w:hAnsi="Arial"/>
                <w:sz w:val="18"/>
                <w:szCs w:val="18"/>
                <w:lang w:eastAsia="en-US"/>
              </w:rPr>
              <w:t xml:space="preserve">for people from </w:t>
            </w:r>
            <w:r w:rsidR="00D43F19" w:rsidRPr="002F4B24">
              <w:rPr>
                <w:rFonts w:ascii="Arial" w:hAnsi="Arial"/>
                <w:sz w:val="18"/>
                <w:szCs w:val="18"/>
                <w:lang w:eastAsia="en-US"/>
              </w:rPr>
              <w:t xml:space="preserve">culturally and linguistically diverse </w:t>
            </w:r>
            <w:r w:rsidR="008D4AC9" w:rsidRPr="002F4B24">
              <w:rPr>
                <w:rFonts w:ascii="Arial" w:hAnsi="Arial"/>
                <w:sz w:val="18"/>
                <w:szCs w:val="18"/>
                <w:lang w:eastAsia="en-US"/>
              </w:rPr>
              <w:t>background</w:t>
            </w:r>
            <w:r w:rsidR="00A31E67" w:rsidRPr="002F4B24">
              <w:rPr>
                <w:rFonts w:ascii="Arial" w:hAnsi="Arial"/>
                <w:sz w:val="18"/>
                <w:szCs w:val="18"/>
                <w:lang w:eastAsia="en-US"/>
              </w:rPr>
              <w:t>s</w:t>
            </w:r>
            <w:r w:rsidR="00CA0E2B" w:rsidRPr="002F4B24">
              <w:rPr>
                <w:rFonts w:ascii="Arial" w:hAnsi="Arial"/>
                <w:sz w:val="18"/>
                <w:szCs w:val="18"/>
                <w:lang w:eastAsia="en-US"/>
              </w:rPr>
              <w:t xml:space="preserve"> </w:t>
            </w:r>
            <w:r w:rsidR="00641587" w:rsidRPr="002F4B24">
              <w:rPr>
                <w:rFonts w:ascii="Arial" w:hAnsi="Arial"/>
                <w:sz w:val="18"/>
                <w:szCs w:val="18"/>
                <w:lang w:eastAsia="en-US"/>
              </w:rPr>
              <w:t xml:space="preserve">to participate on Queensland Government boards </w:t>
            </w:r>
            <w:r w:rsidR="00597F61" w:rsidRPr="002F4B24">
              <w:rPr>
                <w:rFonts w:ascii="Arial" w:hAnsi="Arial"/>
                <w:sz w:val="18"/>
                <w:szCs w:val="18"/>
                <w:lang w:eastAsia="en-US"/>
              </w:rPr>
              <w:t xml:space="preserve">by </w:t>
            </w:r>
            <w:r w:rsidR="00C66FF7" w:rsidRPr="002F4B24">
              <w:rPr>
                <w:rFonts w:ascii="Arial" w:hAnsi="Arial"/>
                <w:sz w:val="18"/>
                <w:szCs w:val="18"/>
                <w:lang w:eastAsia="en-US"/>
              </w:rPr>
              <w:t xml:space="preserve">encouraging Queensland Government departments to </w:t>
            </w:r>
            <w:r w:rsidR="006E6C83" w:rsidRPr="002F4B24">
              <w:rPr>
                <w:rFonts w:ascii="Arial" w:hAnsi="Arial"/>
                <w:sz w:val="18"/>
                <w:szCs w:val="18"/>
                <w:lang w:eastAsia="en-US"/>
              </w:rPr>
              <w:t xml:space="preserve">use </w:t>
            </w:r>
            <w:r w:rsidR="00CA0E2B" w:rsidRPr="002F4B24">
              <w:rPr>
                <w:rFonts w:ascii="Arial" w:hAnsi="Arial"/>
                <w:sz w:val="18"/>
                <w:szCs w:val="18"/>
                <w:lang w:eastAsia="en-US"/>
              </w:rPr>
              <w:t xml:space="preserve">the </w:t>
            </w:r>
            <w:r w:rsidR="00A31E67" w:rsidRPr="002F4B24">
              <w:rPr>
                <w:rFonts w:ascii="Arial" w:hAnsi="Arial"/>
                <w:bCs/>
                <w:i/>
                <w:iCs/>
                <w:sz w:val="18"/>
                <w:szCs w:val="18"/>
              </w:rPr>
              <w:t>Diversity and Inclusion on Boards Toolkit</w:t>
            </w:r>
            <w:r w:rsidR="00C66FF7" w:rsidRPr="002F4B24">
              <w:rPr>
                <w:rFonts w:ascii="Arial" w:hAnsi="Arial"/>
                <w:bCs/>
                <w:i/>
                <w:iCs/>
                <w:sz w:val="18"/>
                <w:szCs w:val="18"/>
              </w:rPr>
              <w:t xml:space="preserve">. </w:t>
            </w:r>
          </w:p>
        </w:tc>
      </w:tr>
      <w:tr w:rsidR="005E3113" w:rsidRPr="00BC63A9" w14:paraId="3D7D4BA0" w14:textId="77777777" w:rsidTr="004171BA">
        <w:trPr>
          <w:trHeight w:val="790"/>
        </w:trPr>
        <w:tc>
          <w:tcPr>
            <w:tcW w:w="1655" w:type="pct"/>
            <w:vAlign w:val="center"/>
          </w:tcPr>
          <w:p w14:paraId="0C2C8769" w14:textId="77777777" w:rsidR="005E3113" w:rsidRPr="002F4B24" w:rsidRDefault="005019C4" w:rsidP="004171BA">
            <w:pPr>
              <w:pStyle w:val="Heading1"/>
              <w:numPr>
                <w:ilvl w:val="0"/>
                <w:numId w:val="0"/>
              </w:numPr>
              <w:rPr>
                <w:rFonts w:ascii="Arial" w:hAnsi="Arial"/>
                <w:b w:val="0"/>
                <w:bCs/>
                <w:sz w:val="18"/>
                <w:szCs w:val="18"/>
              </w:rPr>
            </w:pPr>
            <w:r w:rsidRPr="002F4B24">
              <w:rPr>
                <w:rFonts w:ascii="Arial" w:hAnsi="Arial"/>
                <w:sz w:val="18"/>
                <w:szCs w:val="18"/>
              </w:rPr>
              <w:t>All Agencies Action</w:t>
            </w:r>
            <w:r w:rsidRPr="002F4B24">
              <w:rPr>
                <w:rFonts w:ascii="Arial" w:hAnsi="Arial"/>
                <w:b w:val="0"/>
                <w:bCs/>
                <w:sz w:val="18"/>
                <w:szCs w:val="18"/>
              </w:rPr>
              <w:t xml:space="preserve"> – Agencies will provide DPC with data on the cultural and linguistic diversity of Queensland Government boards to enable Government to monitor and report on the diversity of Queensland Government bodies.</w:t>
            </w:r>
          </w:p>
        </w:tc>
        <w:tc>
          <w:tcPr>
            <w:tcW w:w="521" w:type="pct"/>
          </w:tcPr>
          <w:p w14:paraId="235384F6" w14:textId="63EDCF7D" w:rsidR="005E3113" w:rsidRPr="002F4B24" w:rsidRDefault="00000000" w:rsidP="004171BA">
            <w:pPr>
              <w:pStyle w:val="Heading1"/>
              <w:numPr>
                <w:ilvl w:val="0"/>
                <w:numId w:val="0"/>
              </w:numPr>
              <w:rPr>
                <w:rFonts w:ascii="Arial" w:hAnsi="Arial"/>
                <w:bCs/>
                <w:sz w:val="18"/>
                <w:szCs w:val="18"/>
              </w:rPr>
            </w:pPr>
            <w:sdt>
              <w:sdtPr>
                <w:rPr>
                  <w:bCs/>
                  <w:sz w:val="18"/>
                  <w:szCs w:val="18"/>
                </w:rPr>
                <w:alias w:val="Final Status"/>
                <w:tag w:val="Final Status"/>
                <w:id w:val="737129530"/>
                <w:placeholder>
                  <w:docPart w:val="0919C4ADAD78456CAE80E2893718DCC9"/>
                </w:placeholder>
                <w:dropDownList>
                  <w:listItem w:displayText="Choose a final status" w:value="Choose a final status"/>
                  <w:listItem w:displayText="Delivered" w:value="Delivered"/>
                  <w:listItem w:displayText="Not delivered" w:value="Not delivered"/>
                </w:dropDownList>
              </w:sdtPr>
              <w:sdtContent>
                <w:r w:rsidR="00770E25" w:rsidRPr="002F4B24">
                  <w:rPr>
                    <w:rFonts w:ascii="Arial" w:hAnsi="Arial"/>
                    <w:bCs/>
                    <w:sz w:val="18"/>
                    <w:szCs w:val="18"/>
                  </w:rPr>
                  <w:t>Delivered</w:t>
                </w:r>
              </w:sdtContent>
            </w:sdt>
          </w:p>
        </w:tc>
        <w:tc>
          <w:tcPr>
            <w:tcW w:w="2824" w:type="pct"/>
          </w:tcPr>
          <w:p w14:paraId="5620A596" w14:textId="4C9A6C20" w:rsidR="008C396D" w:rsidRPr="002F4B24" w:rsidRDefault="00BF3FDB" w:rsidP="00917166">
            <w:pPr>
              <w:rPr>
                <w:rFonts w:ascii="Arial" w:hAnsi="Arial"/>
                <w:bCs/>
                <w:sz w:val="18"/>
                <w:szCs w:val="18"/>
              </w:rPr>
            </w:pPr>
            <w:r w:rsidRPr="002F4B24">
              <w:rPr>
                <w:rFonts w:ascii="Arial" w:hAnsi="Arial"/>
                <w:sz w:val="18"/>
                <w:szCs w:val="18"/>
                <w:lang w:val="en-AU" w:eastAsia="en-US"/>
              </w:rPr>
              <w:t>To help support a diverse representation of persons on boards, and support sound decision making</w:t>
            </w:r>
            <w:r w:rsidR="00181AF7" w:rsidRPr="002F4B24">
              <w:rPr>
                <w:rFonts w:ascii="Arial" w:hAnsi="Arial"/>
                <w:sz w:val="18"/>
                <w:szCs w:val="18"/>
                <w:lang w:val="en-AU" w:eastAsia="en-US"/>
              </w:rPr>
              <w:t xml:space="preserve"> that is </w:t>
            </w:r>
            <w:r w:rsidR="001D6131" w:rsidRPr="002F4B24">
              <w:rPr>
                <w:rFonts w:ascii="Arial" w:hAnsi="Arial"/>
                <w:sz w:val="18"/>
                <w:szCs w:val="18"/>
                <w:lang w:val="en-AU" w:eastAsia="en-US"/>
              </w:rPr>
              <w:t xml:space="preserve">inclusive </w:t>
            </w:r>
            <w:r w:rsidR="00181AF7" w:rsidRPr="002F4B24">
              <w:rPr>
                <w:rFonts w:ascii="Arial" w:hAnsi="Arial"/>
                <w:sz w:val="18"/>
                <w:szCs w:val="18"/>
                <w:lang w:val="en-AU" w:eastAsia="en-US"/>
              </w:rPr>
              <w:t>of all Queenslanders</w:t>
            </w:r>
            <w:r w:rsidRPr="002F4B24">
              <w:rPr>
                <w:rFonts w:ascii="Arial" w:hAnsi="Arial"/>
                <w:sz w:val="18"/>
                <w:szCs w:val="18"/>
                <w:lang w:val="en-AU" w:eastAsia="en-US"/>
              </w:rPr>
              <w:t>,</w:t>
            </w:r>
            <w:r w:rsidR="007936B4" w:rsidRPr="002F4B24">
              <w:rPr>
                <w:rFonts w:ascii="Arial" w:hAnsi="Arial"/>
                <w:sz w:val="18"/>
                <w:szCs w:val="18"/>
                <w:lang w:val="en-AU" w:eastAsia="en-US"/>
              </w:rPr>
              <w:t xml:space="preserve"> </w:t>
            </w:r>
            <w:r w:rsidR="00501E5F">
              <w:rPr>
                <w:rFonts w:ascii="Arial" w:hAnsi="Arial"/>
                <w:sz w:val="18"/>
                <w:szCs w:val="18"/>
                <w:lang w:val="en-AU" w:eastAsia="en-US"/>
              </w:rPr>
              <w:t>DPC</w:t>
            </w:r>
            <w:r w:rsidR="007936B4" w:rsidRPr="002F4B24">
              <w:rPr>
                <w:rFonts w:ascii="Arial" w:hAnsi="Arial"/>
                <w:sz w:val="18"/>
                <w:szCs w:val="18"/>
                <w:lang w:val="en-AU" w:eastAsia="en-US"/>
              </w:rPr>
              <w:t xml:space="preserve"> coordinates </w:t>
            </w:r>
            <w:r w:rsidR="000C2EC8" w:rsidRPr="002F4B24">
              <w:rPr>
                <w:rFonts w:ascii="Arial" w:hAnsi="Arial"/>
                <w:bCs/>
                <w:sz w:val="18"/>
                <w:szCs w:val="18"/>
              </w:rPr>
              <w:t>the collection of data about the diversity characteristics of people appointed to in scope Queensland government bodies</w:t>
            </w:r>
            <w:r w:rsidR="00C87689" w:rsidRPr="002F4B24">
              <w:rPr>
                <w:rFonts w:ascii="Arial" w:hAnsi="Arial"/>
                <w:bCs/>
                <w:sz w:val="18"/>
                <w:szCs w:val="18"/>
              </w:rPr>
              <w:t xml:space="preserve">. </w:t>
            </w:r>
          </w:p>
        </w:tc>
      </w:tr>
    </w:tbl>
    <w:p w14:paraId="2BE57C6E" w14:textId="0C0E34C9" w:rsidR="004171BA" w:rsidRPr="007017B1" w:rsidRDefault="00BC63A9" w:rsidP="007017B1">
      <w:pPr>
        <w:spacing w:after="0" w:line="240" w:lineRule="auto"/>
      </w:pPr>
      <w:r w:rsidRPr="003B09F2">
        <w:t xml:space="preserve"> </w:t>
      </w:r>
    </w:p>
    <w:tbl>
      <w:tblPr>
        <w:tblStyle w:val="TableGrid"/>
        <w:tblW w:w="15025" w:type="dxa"/>
        <w:tblInd w:w="279" w:type="dxa"/>
        <w:tblLook w:val="04A0" w:firstRow="1" w:lastRow="0" w:firstColumn="1" w:lastColumn="0" w:noHBand="0" w:noVBand="1"/>
      </w:tblPr>
      <w:tblGrid>
        <w:gridCol w:w="15025"/>
      </w:tblGrid>
      <w:tr w:rsidR="009D65E5" w14:paraId="3465C717" w14:textId="77777777" w:rsidTr="00225D89">
        <w:trPr>
          <w:trHeight w:val="455"/>
        </w:trPr>
        <w:tc>
          <w:tcPr>
            <w:tcW w:w="15025" w:type="dxa"/>
            <w:shd w:val="clear" w:color="auto" w:fill="EAF1DD" w:themeFill="accent3" w:themeFillTint="33"/>
          </w:tcPr>
          <w:p w14:paraId="1DE34F4C" w14:textId="77777777" w:rsidR="009D65E5" w:rsidRPr="00702571" w:rsidRDefault="009D65E5" w:rsidP="00225D89">
            <w:pPr>
              <w:autoSpaceDE w:val="0"/>
              <w:autoSpaceDN w:val="0"/>
              <w:adjustRightInd w:val="0"/>
              <w:ind w:right="-109"/>
              <w:rPr>
                <w:rFonts w:ascii="Arial" w:hAnsi="Arial"/>
                <w:b/>
                <w:i/>
                <w:iCs/>
                <w:sz w:val="20"/>
                <w:szCs w:val="20"/>
              </w:rPr>
            </w:pPr>
            <w:r w:rsidRPr="0044192C">
              <w:rPr>
                <w:rFonts w:ascii="Arial" w:hAnsi="Arial"/>
                <w:b/>
                <w:i/>
                <w:iCs/>
                <w:sz w:val="20"/>
                <w:szCs w:val="20"/>
              </w:rPr>
              <w:t xml:space="preserve">Case studies or good news stories to highlight achievements relevant to </w:t>
            </w:r>
            <w:r w:rsidRPr="009D65E5">
              <w:rPr>
                <w:rFonts w:ascii="Arial" w:hAnsi="Arial"/>
                <w:b/>
                <w:i/>
                <w:iCs/>
                <w:color w:val="C1363A"/>
                <w:sz w:val="20"/>
                <w:szCs w:val="20"/>
              </w:rPr>
              <w:t xml:space="preserve">Focus Area 2:  </w:t>
            </w:r>
          </w:p>
        </w:tc>
      </w:tr>
      <w:tr w:rsidR="0010244F" w14:paraId="195BEA86" w14:textId="77777777" w:rsidTr="00225D89">
        <w:trPr>
          <w:cantSplit/>
          <w:trHeight w:val="256"/>
        </w:trPr>
        <w:tc>
          <w:tcPr>
            <w:tcW w:w="15025" w:type="dxa"/>
          </w:tcPr>
          <w:p w14:paraId="3F9384D6" w14:textId="0367204C" w:rsidR="0010244F" w:rsidRPr="00C04962" w:rsidRDefault="0010244F" w:rsidP="0010244F">
            <w:pPr>
              <w:rPr>
                <w:rFonts w:ascii="Arial" w:hAnsi="Arial"/>
                <w:bCs/>
                <w:i/>
                <w:iCs/>
                <w:sz w:val="18"/>
                <w:szCs w:val="18"/>
              </w:rPr>
            </w:pPr>
          </w:p>
        </w:tc>
      </w:tr>
    </w:tbl>
    <w:p w14:paraId="0CEC06C7" w14:textId="77777777" w:rsidR="002A3D49" w:rsidRPr="002A3D49" w:rsidRDefault="002A3D49" w:rsidP="002A3D49">
      <w:pPr>
        <w:spacing w:after="0" w:line="240" w:lineRule="auto"/>
        <w:rPr>
          <w:b/>
          <w:bCs/>
          <w:sz w:val="18"/>
          <w:szCs w:val="18"/>
        </w:rPr>
      </w:pPr>
    </w:p>
    <w:p w14:paraId="55CCA9F4" w14:textId="77777777" w:rsidR="002A3D49" w:rsidRDefault="002A3D49" w:rsidP="00401833">
      <w:pPr>
        <w:pStyle w:val="ListParagraph"/>
        <w:spacing w:after="0" w:line="240" w:lineRule="auto"/>
        <w:jc w:val="center"/>
        <w:rPr>
          <w:rFonts w:ascii="Arial" w:hAnsi="Arial" w:cs="Arial"/>
          <w:b/>
          <w:bCs/>
          <w:sz w:val="18"/>
          <w:szCs w:val="18"/>
        </w:rPr>
      </w:pPr>
    </w:p>
    <w:p w14:paraId="27A0CF2F" w14:textId="01343B9C" w:rsidR="002A3D49" w:rsidRPr="00306355" w:rsidRDefault="002A3D49" w:rsidP="002A3D49">
      <w:pPr>
        <w:pStyle w:val="ListParagraph"/>
        <w:spacing w:after="0" w:line="240" w:lineRule="auto"/>
        <w:jc w:val="right"/>
        <w:rPr>
          <w:rFonts w:ascii="Arial" w:hAnsi="Arial" w:cs="Arial"/>
          <w:b/>
          <w:bCs/>
          <w:sz w:val="18"/>
          <w:szCs w:val="18"/>
        </w:rPr>
      </w:pPr>
      <w:bookmarkStart w:id="1" w:name="_Hlk202431741"/>
      <w:r w:rsidRPr="00306355">
        <w:rPr>
          <w:rFonts w:ascii="Arial" w:hAnsi="Arial" w:cs="Arial"/>
          <w:b/>
          <w:bCs/>
          <w:sz w:val="18"/>
          <w:szCs w:val="18"/>
        </w:rPr>
        <w:t>Queensland Multicultural Action Plan 2024</w:t>
      </w:r>
      <w:r w:rsidR="00E01374">
        <w:rPr>
          <w:rFonts w:ascii="Arial" w:hAnsi="Arial" w:cs="Arial"/>
          <w:b/>
          <w:bCs/>
          <w:sz w:val="18"/>
          <w:szCs w:val="18"/>
        </w:rPr>
        <w:t>–</w:t>
      </w:r>
      <w:r w:rsidRPr="00306355">
        <w:rPr>
          <w:rFonts w:ascii="Arial" w:hAnsi="Arial" w:cs="Arial"/>
          <w:b/>
          <w:bCs/>
          <w:sz w:val="18"/>
          <w:szCs w:val="18"/>
        </w:rPr>
        <w:t>25 to 2026</w:t>
      </w:r>
      <w:r w:rsidR="00E01374">
        <w:rPr>
          <w:rFonts w:ascii="Arial" w:hAnsi="Arial" w:cs="Arial"/>
          <w:b/>
          <w:bCs/>
          <w:sz w:val="18"/>
          <w:szCs w:val="18"/>
        </w:rPr>
        <w:t>–</w:t>
      </w:r>
      <w:r w:rsidRPr="00306355">
        <w:rPr>
          <w:rFonts w:ascii="Arial" w:hAnsi="Arial" w:cs="Arial"/>
          <w:b/>
          <w:bCs/>
          <w:sz w:val="18"/>
          <w:szCs w:val="18"/>
        </w:rPr>
        <w:t>27</w:t>
      </w:r>
    </w:p>
    <w:p w14:paraId="5F38F3DF" w14:textId="59F34C40" w:rsidR="002A3D49" w:rsidRPr="00306355" w:rsidRDefault="002A3D49" w:rsidP="002A3D49">
      <w:pPr>
        <w:pStyle w:val="ListParagraph"/>
        <w:spacing w:after="0" w:line="240" w:lineRule="auto"/>
        <w:jc w:val="right"/>
        <w:rPr>
          <w:rFonts w:ascii="Arial" w:hAnsi="Arial" w:cs="Arial"/>
          <w:sz w:val="18"/>
          <w:szCs w:val="18"/>
        </w:rPr>
      </w:pPr>
      <w:r w:rsidRPr="00306355">
        <w:rPr>
          <w:rFonts w:ascii="Arial" w:hAnsi="Arial" w:cs="Arial"/>
          <w:sz w:val="18"/>
          <w:szCs w:val="18"/>
        </w:rPr>
        <w:t>2024</w:t>
      </w:r>
      <w:r w:rsidR="00E01374">
        <w:rPr>
          <w:rFonts w:ascii="Arial" w:hAnsi="Arial" w:cs="Arial"/>
          <w:sz w:val="18"/>
          <w:szCs w:val="18"/>
        </w:rPr>
        <w:t>–</w:t>
      </w:r>
      <w:r w:rsidRPr="00306355">
        <w:rPr>
          <w:rFonts w:ascii="Arial" w:hAnsi="Arial" w:cs="Arial"/>
          <w:sz w:val="18"/>
          <w:szCs w:val="18"/>
        </w:rPr>
        <w:t>25 Annual Reporting</w:t>
      </w:r>
    </w:p>
    <w:p w14:paraId="26F09BE3" w14:textId="77777777" w:rsidR="002A3D49" w:rsidRPr="00306355" w:rsidRDefault="002A3D49" w:rsidP="002A3D49">
      <w:pPr>
        <w:pStyle w:val="ListParagraph"/>
        <w:spacing w:after="0" w:line="240" w:lineRule="auto"/>
        <w:jc w:val="right"/>
        <w:rPr>
          <w:rFonts w:ascii="Arial" w:hAnsi="Arial" w:cs="Arial"/>
          <w:sz w:val="18"/>
          <w:szCs w:val="18"/>
        </w:rPr>
      </w:pPr>
      <w:r w:rsidRPr="00306355">
        <w:rPr>
          <w:rFonts w:ascii="Arial" w:hAnsi="Arial" w:cs="Arial"/>
          <w:sz w:val="18"/>
          <w:szCs w:val="18"/>
        </w:rPr>
        <w:t xml:space="preserve">Department of </w:t>
      </w:r>
      <w:r>
        <w:rPr>
          <w:rFonts w:ascii="Arial" w:hAnsi="Arial" w:cs="Arial"/>
          <w:sz w:val="18"/>
          <w:szCs w:val="18"/>
        </w:rPr>
        <w:t>the Premier and Cabinet</w:t>
      </w:r>
    </w:p>
    <w:p w14:paraId="77992030" w14:textId="77777777" w:rsidR="002A3D49" w:rsidRPr="006A2C28" w:rsidRDefault="002A3D49" w:rsidP="002A3D49">
      <w:pPr>
        <w:keepNext/>
        <w:keepLines/>
        <w:spacing w:before="240" w:after="0"/>
        <w:ind w:firstLine="720"/>
        <w:outlineLvl w:val="0"/>
        <w:rPr>
          <w:rFonts w:eastAsiaTheme="majorEastAsia"/>
          <w:b/>
          <w:sz w:val="36"/>
          <w:szCs w:val="36"/>
        </w:rPr>
      </w:pPr>
      <w:r w:rsidRPr="009D65E5">
        <w:rPr>
          <w:rFonts w:ascii="Wingdings" w:eastAsiaTheme="majorEastAsia" w:hAnsi="Wingdings"/>
          <w:b/>
          <w:bCs/>
          <w:color w:val="ED8553"/>
          <w:sz w:val="36"/>
          <w:szCs w:val="36"/>
        </w:rPr>
        <w:sym w:font="Wingdings" w:char="F06C"/>
      </w:r>
      <w:r w:rsidRPr="009D65E5">
        <w:rPr>
          <w:rFonts w:ascii="Wingdings" w:eastAsiaTheme="majorEastAsia" w:hAnsi="Wingdings"/>
          <w:b/>
          <w:bCs/>
          <w:color w:val="ED8553"/>
          <w:sz w:val="36"/>
          <w:szCs w:val="36"/>
        </w:rPr>
        <w:t xml:space="preserve"> </w:t>
      </w:r>
      <w:r w:rsidRPr="009D65E5">
        <w:rPr>
          <w:rFonts w:ascii="Arial Black" w:eastAsiaTheme="majorEastAsia" w:hAnsi="Arial Black"/>
          <w:b/>
          <w:bCs/>
          <w:color w:val="ED8553"/>
          <w:sz w:val="36"/>
          <w:szCs w:val="36"/>
        </w:rPr>
        <w:t>Focus Area 3</w:t>
      </w:r>
      <w:r w:rsidRPr="009D65E5">
        <w:rPr>
          <w:rFonts w:eastAsiaTheme="majorEastAsia"/>
          <w:b/>
          <w:color w:val="ED8553"/>
          <w:sz w:val="36"/>
          <w:szCs w:val="36"/>
        </w:rPr>
        <w:t xml:space="preserve">: </w:t>
      </w:r>
      <w:r>
        <w:rPr>
          <w:rFonts w:eastAsiaTheme="majorEastAsia"/>
          <w:b/>
          <w:sz w:val="36"/>
          <w:szCs w:val="36"/>
        </w:rPr>
        <w:t>Strengthen Our Economy</w:t>
      </w:r>
      <w:r w:rsidRPr="006A2C28">
        <w:rPr>
          <w:rFonts w:eastAsiaTheme="majorEastAsia"/>
          <w:b/>
          <w:sz w:val="36"/>
          <w:szCs w:val="36"/>
        </w:rPr>
        <w:t xml:space="preserve"> </w:t>
      </w:r>
    </w:p>
    <w:p w14:paraId="4874D1A4" w14:textId="77777777" w:rsidR="002A3D49" w:rsidRPr="009923F8" w:rsidRDefault="002A3D49" w:rsidP="002A3D49">
      <w:pPr>
        <w:spacing w:after="0" w:line="240" w:lineRule="auto"/>
        <w:rPr>
          <w:sz w:val="22"/>
          <w:szCs w:val="22"/>
        </w:rPr>
      </w:pPr>
    </w:p>
    <w:p w14:paraId="449B5253" w14:textId="77777777" w:rsidR="002A3D49" w:rsidRPr="00CC20F9" w:rsidRDefault="002A3D49" w:rsidP="002A3D49">
      <w:pPr>
        <w:pStyle w:val="ListParagraph"/>
        <w:spacing w:after="0" w:line="240" w:lineRule="auto"/>
        <w:rPr>
          <w:rFonts w:ascii="Arial" w:eastAsia="Times New Roman" w:hAnsi="Arial" w:cs="Arial"/>
          <w:i/>
          <w:iCs/>
        </w:rPr>
      </w:pPr>
      <w:r>
        <w:rPr>
          <w:rFonts w:ascii="Arial" w:eastAsia="Times New Roman" w:hAnsi="Arial" w:cs="Arial"/>
          <w:sz w:val="24"/>
          <w:szCs w:val="24"/>
        </w:rPr>
        <w:t>The Queensland Government</w:t>
      </w:r>
      <w:r w:rsidRPr="009923F8">
        <w:rPr>
          <w:rFonts w:ascii="Arial" w:eastAsia="Times New Roman" w:hAnsi="Arial" w:cs="Arial"/>
          <w:sz w:val="24"/>
          <w:szCs w:val="24"/>
        </w:rPr>
        <w:t xml:space="preserve"> </w:t>
      </w:r>
      <w:r w:rsidRPr="00CC20F9">
        <w:rPr>
          <w:rFonts w:ascii="Arial" w:eastAsia="Times New Roman" w:hAnsi="Arial" w:cs="Arial"/>
          <w:sz w:val="24"/>
          <w:szCs w:val="24"/>
        </w:rPr>
        <w:t>will take specific actions to identify and address the barriers that people from culturally and linguistically diverse backgrounds face to participate in economic opportunities in line with their skills and ambitions.</w:t>
      </w:r>
      <w:r>
        <w:rPr>
          <w:rFonts w:ascii="Arial" w:eastAsia="Times New Roman" w:hAnsi="Arial" w:cs="Arial"/>
          <w:sz w:val="24"/>
          <w:szCs w:val="24"/>
        </w:rPr>
        <w:t xml:space="preserve"> </w:t>
      </w:r>
    </w:p>
    <w:p w14:paraId="15B21A83" w14:textId="77777777" w:rsidR="002A3D49" w:rsidRPr="00306355" w:rsidRDefault="002A3D49" w:rsidP="002A3D49">
      <w:pPr>
        <w:spacing w:after="0" w:line="240" w:lineRule="auto"/>
        <w:rPr>
          <w:sz w:val="2"/>
          <w:szCs w:val="2"/>
        </w:rPr>
      </w:pPr>
    </w:p>
    <w:p w14:paraId="6CAFDDB1" w14:textId="77777777" w:rsidR="002A3D49" w:rsidRDefault="002A3D49" w:rsidP="002A3D49">
      <w:pPr>
        <w:spacing w:after="0" w:line="240" w:lineRule="auto"/>
      </w:pPr>
    </w:p>
    <w:tbl>
      <w:tblPr>
        <w:tblStyle w:val="TableGrid"/>
        <w:tblW w:w="5061" w:type="pct"/>
        <w:tblInd w:w="279" w:type="dxa"/>
        <w:tblLayout w:type="fixed"/>
        <w:tblLook w:val="04A0" w:firstRow="1" w:lastRow="0" w:firstColumn="1" w:lastColumn="0" w:noHBand="0" w:noVBand="1"/>
      </w:tblPr>
      <w:tblGrid>
        <w:gridCol w:w="4960"/>
        <w:gridCol w:w="1987"/>
        <w:gridCol w:w="8221"/>
      </w:tblGrid>
      <w:tr w:rsidR="002A3D49" w:rsidRPr="00BC63A9" w14:paraId="1978A97E" w14:textId="77777777" w:rsidTr="002A3D49">
        <w:trPr>
          <w:trHeight w:val="866"/>
          <w:tblHeader/>
        </w:trPr>
        <w:tc>
          <w:tcPr>
            <w:tcW w:w="1635" w:type="pct"/>
            <w:shd w:val="clear" w:color="auto" w:fill="D9D9D9" w:themeFill="background1" w:themeFillShade="D9"/>
            <w:vAlign w:val="center"/>
          </w:tcPr>
          <w:p w14:paraId="31D8C1CB" w14:textId="77777777" w:rsidR="002A3D49" w:rsidRPr="00BC63A9" w:rsidRDefault="002A3D49" w:rsidP="00493729">
            <w:pPr>
              <w:autoSpaceDE w:val="0"/>
              <w:autoSpaceDN w:val="0"/>
              <w:adjustRightInd w:val="0"/>
              <w:spacing w:after="120"/>
              <w:rPr>
                <w:rFonts w:ascii="Arial" w:hAnsi="Arial"/>
                <w:b/>
                <w:sz w:val="20"/>
                <w:szCs w:val="20"/>
              </w:rPr>
            </w:pPr>
            <w:r w:rsidRPr="00BC63A9">
              <w:rPr>
                <w:rFonts w:ascii="Arial" w:hAnsi="Arial"/>
                <w:b/>
                <w:sz w:val="20"/>
                <w:szCs w:val="20"/>
              </w:rPr>
              <w:t xml:space="preserve">Agency </w:t>
            </w:r>
            <w:r>
              <w:rPr>
                <w:rFonts w:ascii="Arial" w:hAnsi="Arial"/>
                <w:b/>
                <w:sz w:val="20"/>
                <w:szCs w:val="20"/>
              </w:rPr>
              <w:t>actions</w:t>
            </w:r>
            <w:r w:rsidRPr="00BC63A9">
              <w:rPr>
                <w:rFonts w:ascii="Arial" w:hAnsi="Arial"/>
                <w:b/>
                <w:sz w:val="20"/>
                <w:szCs w:val="20"/>
              </w:rPr>
              <w:t xml:space="preserve"> supporting </w:t>
            </w:r>
            <w:r w:rsidRPr="00CC20F9">
              <w:rPr>
                <w:rFonts w:ascii="Arial" w:hAnsi="Arial"/>
                <w:b/>
                <w:color w:val="ED8553"/>
                <w:sz w:val="20"/>
                <w:szCs w:val="20"/>
              </w:rPr>
              <w:t>Focus Area 3</w:t>
            </w:r>
          </w:p>
        </w:tc>
        <w:tc>
          <w:tcPr>
            <w:tcW w:w="655" w:type="pct"/>
            <w:shd w:val="clear" w:color="auto" w:fill="D9D9D9" w:themeFill="background1" w:themeFillShade="D9"/>
            <w:vAlign w:val="center"/>
          </w:tcPr>
          <w:p w14:paraId="638F5133" w14:textId="3CD4BDDC" w:rsidR="002A3D49" w:rsidRPr="00BC63A9" w:rsidRDefault="002A3D49" w:rsidP="00493729">
            <w:pPr>
              <w:autoSpaceDE w:val="0"/>
              <w:autoSpaceDN w:val="0"/>
              <w:adjustRightInd w:val="0"/>
              <w:spacing w:after="120"/>
              <w:jc w:val="center"/>
              <w:rPr>
                <w:rFonts w:ascii="Arial" w:hAnsi="Arial"/>
                <w:b/>
                <w:sz w:val="20"/>
                <w:szCs w:val="20"/>
              </w:rPr>
            </w:pPr>
            <w:r w:rsidRPr="00BC63A9">
              <w:rPr>
                <w:rFonts w:ascii="Arial" w:hAnsi="Arial"/>
                <w:b/>
                <w:sz w:val="20"/>
                <w:szCs w:val="20"/>
              </w:rPr>
              <w:t>Progress</w:t>
            </w:r>
            <w:r>
              <w:rPr>
                <w:rFonts w:ascii="Arial" w:hAnsi="Arial"/>
                <w:b/>
                <w:sz w:val="20"/>
                <w:szCs w:val="20"/>
              </w:rPr>
              <w:t>/</w:t>
            </w:r>
            <w:r w:rsidRPr="00BC63A9">
              <w:rPr>
                <w:rFonts w:ascii="Arial" w:hAnsi="Arial"/>
                <w:b/>
                <w:sz w:val="20"/>
                <w:szCs w:val="20"/>
              </w:rPr>
              <w:t xml:space="preserve"> status for 202</w:t>
            </w:r>
            <w:r>
              <w:rPr>
                <w:rFonts w:ascii="Arial" w:hAnsi="Arial"/>
                <w:b/>
                <w:sz w:val="20"/>
                <w:szCs w:val="20"/>
              </w:rPr>
              <w:t>4</w:t>
            </w:r>
            <w:r w:rsidR="00E01374">
              <w:rPr>
                <w:rFonts w:ascii="Arial" w:hAnsi="Arial"/>
                <w:b/>
                <w:sz w:val="20"/>
                <w:szCs w:val="20"/>
              </w:rPr>
              <w:t>–</w:t>
            </w:r>
            <w:r w:rsidRPr="00BC63A9">
              <w:rPr>
                <w:rFonts w:ascii="Arial" w:hAnsi="Arial"/>
                <w:b/>
                <w:sz w:val="20"/>
                <w:szCs w:val="20"/>
              </w:rPr>
              <w:t>2</w:t>
            </w:r>
            <w:r>
              <w:rPr>
                <w:rFonts w:ascii="Arial" w:hAnsi="Arial"/>
                <w:b/>
                <w:sz w:val="20"/>
                <w:szCs w:val="20"/>
              </w:rPr>
              <w:t>5</w:t>
            </w:r>
          </w:p>
        </w:tc>
        <w:tc>
          <w:tcPr>
            <w:tcW w:w="2710" w:type="pct"/>
            <w:shd w:val="clear" w:color="auto" w:fill="D9D9D9" w:themeFill="background1" w:themeFillShade="D9"/>
            <w:vAlign w:val="center"/>
          </w:tcPr>
          <w:p w14:paraId="0C2B042C" w14:textId="77777777" w:rsidR="002A3D49" w:rsidRPr="00BC63A9" w:rsidRDefault="002A3D49" w:rsidP="00493729">
            <w:pPr>
              <w:autoSpaceDE w:val="0"/>
              <w:autoSpaceDN w:val="0"/>
              <w:adjustRightInd w:val="0"/>
              <w:spacing w:after="120"/>
              <w:rPr>
                <w:rFonts w:ascii="Arial" w:hAnsi="Arial"/>
                <w:b/>
                <w:sz w:val="20"/>
                <w:szCs w:val="20"/>
              </w:rPr>
            </w:pPr>
            <w:r w:rsidRPr="00BC63A9">
              <w:rPr>
                <w:rFonts w:ascii="Arial" w:hAnsi="Arial"/>
                <w:b/>
                <w:sz w:val="20"/>
                <w:szCs w:val="20"/>
              </w:rPr>
              <w:t>Outcomes achieved for people from culturally and linguistically diverse backgrounds</w:t>
            </w:r>
          </w:p>
          <w:p w14:paraId="694BBC03" w14:textId="2FCCF247" w:rsidR="002A3D49" w:rsidRPr="00BC63A9" w:rsidRDefault="002A3D49" w:rsidP="00493729">
            <w:pPr>
              <w:autoSpaceDE w:val="0"/>
              <w:autoSpaceDN w:val="0"/>
              <w:adjustRightInd w:val="0"/>
              <w:spacing w:after="120"/>
              <w:rPr>
                <w:rFonts w:ascii="Arial" w:hAnsi="Arial"/>
                <w:i/>
                <w:iCs/>
                <w:sz w:val="18"/>
                <w:szCs w:val="18"/>
              </w:rPr>
            </w:pPr>
          </w:p>
        </w:tc>
      </w:tr>
      <w:tr w:rsidR="002A3D49" w:rsidRPr="00BC63A9" w14:paraId="0EEAD78E" w14:textId="77777777" w:rsidTr="002A3D49">
        <w:trPr>
          <w:trHeight w:val="790"/>
        </w:trPr>
        <w:tc>
          <w:tcPr>
            <w:tcW w:w="1635" w:type="pct"/>
            <w:vAlign w:val="bottom"/>
          </w:tcPr>
          <w:p w14:paraId="450AF78D" w14:textId="77777777" w:rsidR="002A3D49" w:rsidRPr="00BC63A9" w:rsidRDefault="002A3D49" w:rsidP="002A3D49">
            <w:pPr>
              <w:pStyle w:val="Heading1"/>
              <w:numPr>
                <w:ilvl w:val="0"/>
                <w:numId w:val="0"/>
              </w:numPr>
              <w:rPr>
                <w:rFonts w:ascii="Arial" w:hAnsi="Arial"/>
                <w:i/>
                <w:iCs/>
                <w:color w:val="4F81BD" w:themeColor="accent1"/>
                <w:sz w:val="18"/>
                <w:szCs w:val="18"/>
              </w:rPr>
            </w:pPr>
            <w:r w:rsidRPr="00CF0C5C">
              <w:rPr>
                <w:rFonts w:ascii="Arial" w:hAnsi="Arial"/>
                <w:i/>
                <w:iCs/>
                <w:sz w:val="18"/>
                <w:szCs w:val="18"/>
              </w:rPr>
              <w:t xml:space="preserve">N/A – </w:t>
            </w:r>
            <w:r w:rsidRPr="00194D2A">
              <w:rPr>
                <w:rFonts w:ascii="Arial" w:hAnsi="Arial"/>
                <w:b w:val="0"/>
                <w:bCs/>
                <w:i/>
                <w:iCs/>
                <w:sz w:val="18"/>
                <w:szCs w:val="18"/>
              </w:rPr>
              <w:t xml:space="preserve">The Department of </w:t>
            </w:r>
            <w:r>
              <w:rPr>
                <w:rFonts w:ascii="Arial" w:hAnsi="Arial"/>
                <w:b w:val="0"/>
                <w:bCs/>
                <w:i/>
                <w:iCs/>
                <w:sz w:val="18"/>
                <w:szCs w:val="18"/>
              </w:rPr>
              <w:t xml:space="preserve">the Premier and Cabinet </w:t>
            </w:r>
            <w:r w:rsidRPr="00194D2A">
              <w:rPr>
                <w:rFonts w:ascii="Arial" w:hAnsi="Arial"/>
                <w:b w:val="0"/>
                <w:bCs/>
                <w:i/>
                <w:iCs/>
                <w:sz w:val="18"/>
                <w:szCs w:val="18"/>
              </w:rPr>
              <w:t>does not have any actions under Focus Area</w:t>
            </w:r>
            <w:r>
              <w:rPr>
                <w:rFonts w:ascii="Arial" w:hAnsi="Arial"/>
                <w:b w:val="0"/>
                <w:bCs/>
                <w:i/>
                <w:iCs/>
                <w:sz w:val="18"/>
                <w:szCs w:val="18"/>
              </w:rPr>
              <w:t xml:space="preserve"> 3.</w:t>
            </w:r>
          </w:p>
        </w:tc>
        <w:tc>
          <w:tcPr>
            <w:tcW w:w="655" w:type="pct"/>
          </w:tcPr>
          <w:p w14:paraId="50C7BF94" w14:textId="77777777" w:rsidR="002A3D49" w:rsidRPr="00BC63A9" w:rsidRDefault="00000000" w:rsidP="00493729">
            <w:pPr>
              <w:pStyle w:val="Heading1"/>
              <w:numPr>
                <w:ilvl w:val="0"/>
                <w:numId w:val="0"/>
              </w:numPr>
              <w:rPr>
                <w:rFonts w:ascii="Arial" w:hAnsi="Arial"/>
                <w:bCs/>
                <w:sz w:val="18"/>
                <w:szCs w:val="18"/>
              </w:rPr>
            </w:pPr>
            <w:sdt>
              <w:sdtPr>
                <w:rPr>
                  <w:bCs/>
                  <w:sz w:val="18"/>
                  <w:szCs w:val="18"/>
                </w:rPr>
                <w:alias w:val="Final Status"/>
                <w:tag w:val="Final Status"/>
                <w:id w:val="919132828"/>
                <w:placeholder>
                  <w:docPart w:val="5B391CD35AC6453EAB6A7A166D0BABA5"/>
                </w:placeholder>
                <w:dropDownList>
                  <w:listItem w:displayText="Choose a final status" w:value="Choose a final status"/>
                  <w:listItem w:displayText="Delivered" w:value="Delivered"/>
                  <w:listItem w:displayText="Not delivered" w:value="Not delivered"/>
                </w:dropDownList>
              </w:sdtPr>
              <w:sdtContent>
                <w:r w:rsidR="002A3D49" w:rsidRPr="00BC63A9">
                  <w:rPr>
                    <w:rFonts w:ascii="Arial" w:hAnsi="Arial"/>
                    <w:bCs/>
                    <w:sz w:val="18"/>
                    <w:szCs w:val="18"/>
                  </w:rPr>
                  <w:t>Choose a final status</w:t>
                </w:r>
              </w:sdtContent>
            </w:sdt>
            <w:r w:rsidR="002A3D49" w:rsidRPr="00BC63A9" w:rsidDel="00587F58">
              <w:rPr>
                <w:rFonts w:ascii="Arial" w:hAnsi="Arial"/>
                <w:bCs/>
                <w:sz w:val="18"/>
                <w:szCs w:val="18"/>
              </w:rPr>
              <w:t xml:space="preserve"> </w:t>
            </w:r>
          </w:p>
        </w:tc>
        <w:tc>
          <w:tcPr>
            <w:tcW w:w="2710" w:type="pct"/>
          </w:tcPr>
          <w:p w14:paraId="1A0D6510" w14:textId="77777777" w:rsidR="002A3D49" w:rsidRPr="00BC63A9" w:rsidRDefault="002A3D49" w:rsidP="002A3D49">
            <w:pPr>
              <w:pStyle w:val="Heading1"/>
              <w:numPr>
                <w:ilvl w:val="0"/>
                <w:numId w:val="0"/>
              </w:numPr>
              <w:ind w:firstLine="39"/>
              <w:rPr>
                <w:rFonts w:ascii="Arial" w:hAnsi="Arial"/>
                <w:bCs/>
                <w:i/>
                <w:iCs/>
                <w:color w:val="4F81BD" w:themeColor="accent1"/>
                <w:sz w:val="18"/>
                <w:szCs w:val="18"/>
              </w:rPr>
            </w:pPr>
            <w:r w:rsidRPr="00CF0C5C">
              <w:rPr>
                <w:rFonts w:ascii="Arial" w:hAnsi="Arial"/>
                <w:i/>
                <w:iCs/>
                <w:sz w:val="18"/>
                <w:szCs w:val="18"/>
              </w:rPr>
              <w:t xml:space="preserve">N/A – </w:t>
            </w:r>
            <w:r w:rsidRPr="00194D2A">
              <w:rPr>
                <w:rFonts w:ascii="Arial" w:hAnsi="Arial"/>
                <w:b w:val="0"/>
                <w:bCs/>
                <w:i/>
                <w:iCs/>
                <w:sz w:val="18"/>
                <w:szCs w:val="18"/>
              </w:rPr>
              <w:t xml:space="preserve">The Department of </w:t>
            </w:r>
            <w:r>
              <w:rPr>
                <w:rFonts w:ascii="Arial" w:hAnsi="Arial"/>
                <w:b w:val="0"/>
                <w:bCs/>
                <w:i/>
                <w:iCs/>
                <w:sz w:val="18"/>
                <w:szCs w:val="18"/>
              </w:rPr>
              <w:t xml:space="preserve">the Premier and Cabinet </w:t>
            </w:r>
            <w:r w:rsidRPr="00194D2A">
              <w:rPr>
                <w:rFonts w:ascii="Arial" w:hAnsi="Arial"/>
                <w:b w:val="0"/>
                <w:bCs/>
                <w:i/>
                <w:iCs/>
                <w:sz w:val="18"/>
                <w:szCs w:val="18"/>
              </w:rPr>
              <w:t>does not have any actions under Focus Are</w:t>
            </w:r>
            <w:r>
              <w:rPr>
                <w:rFonts w:ascii="Arial" w:hAnsi="Arial"/>
                <w:b w:val="0"/>
                <w:bCs/>
                <w:i/>
                <w:iCs/>
                <w:sz w:val="18"/>
                <w:szCs w:val="18"/>
              </w:rPr>
              <w:t>a 3.</w:t>
            </w:r>
          </w:p>
        </w:tc>
      </w:tr>
    </w:tbl>
    <w:p w14:paraId="625C13AA" w14:textId="77777777" w:rsidR="002A3D49" w:rsidRPr="003B09F2" w:rsidRDefault="002A3D49" w:rsidP="002A3D49">
      <w:pPr>
        <w:spacing w:after="0" w:line="240" w:lineRule="auto"/>
      </w:pPr>
      <w:r w:rsidRPr="003B09F2">
        <w:t xml:space="preserve"> </w:t>
      </w:r>
    </w:p>
    <w:tbl>
      <w:tblPr>
        <w:tblStyle w:val="TableGrid"/>
        <w:tblW w:w="15167" w:type="dxa"/>
        <w:tblInd w:w="279" w:type="dxa"/>
        <w:tblLook w:val="04A0" w:firstRow="1" w:lastRow="0" w:firstColumn="1" w:lastColumn="0" w:noHBand="0" w:noVBand="1"/>
      </w:tblPr>
      <w:tblGrid>
        <w:gridCol w:w="15167"/>
      </w:tblGrid>
      <w:tr w:rsidR="002A3D49" w14:paraId="098E72F0" w14:textId="77777777" w:rsidTr="002A3D49">
        <w:trPr>
          <w:trHeight w:val="455"/>
        </w:trPr>
        <w:tc>
          <w:tcPr>
            <w:tcW w:w="15167" w:type="dxa"/>
            <w:shd w:val="clear" w:color="auto" w:fill="EAF1DD" w:themeFill="accent3" w:themeFillTint="33"/>
          </w:tcPr>
          <w:p w14:paraId="016B39A0" w14:textId="77777777" w:rsidR="002A3D49" w:rsidRPr="00702571" w:rsidRDefault="002A3D49" w:rsidP="00493729">
            <w:pPr>
              <w:autoSpaceDE w:val="0"/>
              <w:autoSpaceDN w:val="0"/>
              <w:adjustRightInd w:val="0"/>
              <w:rPr>
                <w:rFonts w:ascii="Arial" w:hAnsi="Arial"/>
                <w:b/>
                <w:i/>
                <w:iCs/>
                <w:sz w:val="20"/>
                <w:szCs w:val="20"/>
              </w:rPr>
            </w:pPr>
            <w:r w:rsidRPr="0044192C">
              <w:rPr>
                <w:rFonts w:ascii="Arial" w:hAnsi="Arial"/>
                <w:b/>
                <w:i/>
                <w:iCs/>
                <w:sz w:val="20"/>
                <w:szCs w:val="20"/>
              </w:rPr>
              <w:t xml:space="preserve">Case studies or good news stories to highlight achievements relevant to </w:t>
            </w:r>
            <w:r w:rsidRPr="00CC20F9">
              <w:rPr>
                <w:rFonts w:ascii="Arial" w:hAnsi="Arial"/>
                <w:b/>
                <w:i/>
                <w:iCs/>
                <w:color w:val="ED8553"/>
                <w:sz w:val="20"/>
                <w:szCs w:val="20"/>
              </w:rPr>
              <w:t xml:space="preserve">Focus Area 3:  </w:t>
            </w:r>
          </w:p>
        </w:tc>
      </w:tr>
      <w:tr w:rsidR="002A3D49" w14:paraId="7047E174" w14:textId="77777777" w:rsidTr="002A3D49">
        <w:trPr>
          <w:cantSplit/>
          <w:trHeight w:val="256"/>
        </w:trPr>
        <w:tc>
          <w:tcPr>
            <w:tcW w:w="15167" w:type="dxa"/>
          </w:tcPr>
          <w:p w14:paraId="38DC236D" w14:textId="77777777" w:rsidR="002A3D49" w:rsidRPr="00C04962" w:rsidRDefault="002A3D49" w:rsidP="00493729">
            <w:pPr>
              <w:rPr>
                <w:rFonts w:ascii="Arial" w:hAnsi="Arial"/>
                <w:bCs/>
                <w:i/>
                <w:iCs/>
                <w:sz w:val="18"/>
                <w:szCs w:val="18"/>
              </w:rPr>
            </w:pPr>
            <w:r w:rsidRPr="00CF0C5C">
              <w:rPr>
                <w:rFonts w:ascii="Arial" w:hAnsi="Arial"/>
                <w:i/>
                <w:iCs/>
                <w:sz w:val="18"/>
                <w:szCs w:val="18"/>
              </w:rPr>
              <w:t xml:space="preserve">N/A – </w:t>
            </w:r>
            <w:r w:rsidRPr="00194D2A">
              <w:rPr>
                <w:rFonts w:ascii="Arial" w:hAnsi="Arial"/>
                <w:bCs/>
                <w:i/>
                <w:iCs/>
                <w:sz w:val="18"/>
                <w:szCs w:val="18"/>
              </w:rPr>
              <w:t xml:space="preserve">The Department of </w:t>
            </w:r>
            <w:r w:rsidRPr="002A3D49">
              <w:rPr>
                <w:rFonts w:ascii="Arial" w:hAnsi="Arial"/>
                <w:i/>
                <w:iCs/>
                <w:sz w:val="18"/>
                <w:szCs w:val="18"/>
              </w:rPr>
              <w:t>the Premier and Cabinet does</w:t>
            </w:r>
            <w:r w:rsidRPr="00194D2A">
              <w:rPr>
                <w:rFonts w:ascii="Arial" w:hAnsi="Arial"/>
                <w:bCs/>
                <w:i/>
                <w:iCs/>
                <w:sz w:val="18"/>
                <w:szCs w:val="18"/>
              </w:rPr>
              <w:t xml:space="preserve"> not have any actions under </w:t>
            </w:r>
            <w:r w:rsidRPr="002A3D49">
              <w:rPr>
                <w:rFonts w:ascii="Arial" w:hAnsi="Arial"/>
                <w:bCs/>
                <w:i/>
                <w:iCs/>
                <w:sz w:val="18"/>
                <w:szCs w:val="18"/>
              </w:rPr>
              <w:t>Focus Area 3.</w:t>
            </w:r>
          </w:p>
        </w:tc>
      </w:tr>
      <w:bookmarkEnd w:id="1"/>
    </w:tbl>
    <w:p w14:paraId="10A10100" w14:textId="77777777" w:rsidR="002A3D49" w:rsidRDefault="002A3D49" w:rsidP="00F825EF">
      <w:pPr>
        <w:pStyle w:val="ListParagraph"/>
        <w:spacing w:after="0" w:line="240" w:lineRule="auto"/>
        <w:jc w:val="right"/>
        <w:rPr>
          <w:rFonts w:ascii="Arial" w:hAnsi="Arial" w:cs="Arial"/>
          <w:b/>
          <w:bCs/>
          <w:sz w:val="18"/>
          <w:szCs w:val="18"/>
        </w:rPr>
      </w:pPr>
    </w:p>
    <w:p w14:paraId="0BB0192C" w14:textId="77777777" w:rsidR="002A3D49" w:rsidRDefault="002A3D49" w:rsidP="00F825EF">
      <w:pPr>
        <w:pStyle w:val="ListParagraph"/>
        <w:spacing w:after="0" w:line="240" w:lineRule="auto"/>
        <w:jc w:val="right"/>
        <w:rPr>
          <w:rFonts w:ascii="Arial" w:hAnsi="Arial" w:cs="Arial"/>
          <w:b/>
          <w:bCs/>
          <w:sz w:val="18"/>
          <w:szCs w:val="18"/>
        </w:rPr>
      </w:pPr>
    </w:p>
    <w:p w14:paraId="7DC25AFD" w14:textId="77777777" w:rsidR="002A3D49" w:rsidRDefault="002A3D49" w:rsidP="00F825EF">
      <w:pPr>
        <w:pStyle w:val="ListParagraph"/>
        <w:spacing w:after="0" w:line="240" w:lineRule="auto"/>
        <w:jc w:val="right"/>
        <w:rPr>
          <w:rFonts w:ascii="Arial" w:hAnsi="Arial" w:cs="Arial"/>
          <w:b/>
          <w:bCs/>
          <w:sz w:val="18"/>
          <w:szCs w:val="18"/>
        </w:rPr>
      </w:pPr>
    </w:p>
    <w:p w14:paraId="242989FB" w14:textId="77777777" w:rsidR="002A3D49" w:rsidRDefault="002A3D49" w:rsidP="00F825EF">
      <w:pPr>
        <w:pStyle w:val="ListParagraph"/>
        <w:spacing w:after="0" w:line="240" w:lineRule="auto"/>
        <w:jc w:val="right"/>
        <w:rPr>
          <w:rFonts w:ascii="Arial" w:hAnsi="Arial" w:cs="Arial"/>
          <w:b/>
          <w:bCs/>
          <w:sz w:val="18"/>
          <w:szCs w:val="18"/>
        </w:rPr>
      </w:pPr>
    </w:p>
    <w:p w14:paraId="689F3594" w14:textId="77777777" w:rsidR="002A3D49" w:rsidRDefault="002A3D49" w:rsidP="00F825EF">
      <w:pPr>
        <w:pStyle w:val="ListParagraph"/>
        <w:spacing w:after="0" w:line="240" w:lineRule="auto"/>
        <w:jc w:val="right"/>
        <w:rPr>
          <w:rFonts w:ascii="Arial" w:hAnsi="Arial" w:cs="Arial"/>
          <w:b/>
          <w:bCs/>
          <w:sz w:val="18"/>
          <w:szCs w:val="18"/>
        </w:rPr>
      </w:pPr>
    </w:p>
    <w:p w14:paraId="3ED74EF9" w14:textId="77777777" w:rsidR="002A3D49" w:rsidRDefault="002A3D49" w:rsidP="00F825EF">
      <w:pPr>
        <w:pStyle w:val="ListParagraph"/>
        <w:spacing w:after="0" w:line="240" w:lineRule="auto"/>
        <w:jc w:val="right"/>
        <w:rPr>
          <w:rFonts w:ascii="Arial" w:hAnsi="Arial" w:cs="Arial"/>
          <w:b/>
          <w:bCs/>
          <w:sz w:val="18"/>
          <w:szCs w:val="18"/>
        </w:rPr>
      </w:pPr>
    </w:p>
    <w:p w14:paraId="6F481BAD" w14:textId="77777777" w:rsidR="002A3D49" w:rsidRPr="00856198" w:rsidRDefault="002A3D49" w:rsidP="00856198">
      <w:pPr>
        <w:spacing w:after="0" w:line="240" w:lineRule="auto"/>
        <w:rPr>
          <w:b/>
          <w:bCs/>
          <w:sz w:val="18"/>
          <w:szCs w:val="18"/>
        </w:rPr>
      </w:pPr>
    </w:p>
    <w:p w14:paraId="3C5AAA4B" w14:textId="77777777" w:rsidR="002A3D49" w:rsidRDefault="002A3D49" w:rsidP="00F825EF">
      <w:pPr>
        <w:pStyle w:val="ListParagraph"/>
        <w:spacing w:after="0" w:line="240" w:lineRule="auto"/>
        <w:jc w:val="right"/>
        <w:rPr>
          <w:rFonts w:ascii="Arial" w:hAnsi="Arial" w:cs="Arial"/>
          <w:b/>
          <w:bCs/>
          <w:sz w:val="18"/>
          <w:szCs w:val="18"/>
        </w:rPr>
      </w:pPr>
    </w:p>
    <w:p w14:paraId="7D43CF31" w14:textId="77777777" w:rsidR="002A3D49" w:rsidRPr="002A3D49" w:rsidRDefault="002A3D49" w:rsidP="002A3D49">
      <w:pPr>
        <w:spacing w:after="0" w:line="240" w:lineRule="auto"/>
        <w:rPr>
          <w:b/>
          <w:bCs/>
          <w:sz w:val="18"/>
          <w:szCs w:val="18"/>
        </w:rPr>
      </w:pPr>
    </w:p>
    <w:p w14:paraId="2D7083BD" w14:textId="77777777" w:rsidR="002A3D49" w:rsidRDefault="002A3D49" w:rsidP="00F825EF">
      <w:pPr>
        <w:pStyle w:val="ListParagraph"/>
        <w:spacing w:after="0" w:line="240" w:lineRule="auto"/>
        <w:jc w:val="right"/>
        <w:rPr>
          <w:rFonts w:ascii="Arial" w:hAnsi="Arial" w:cs="Arial"/>
          <w:b/>
          <w:bCs/>
          <w:sz w:val="18"/>
          <w:szCs w:val="18"/>
        </w:rPr>
      </w:pPr>
    </w:p>
    <w:p w14:paraId="507AA3BB" w14:textId="77777777" w:rsidR="007917D6" w:rsidRDefault="007917D6" w:rsidP="00F825EF">
      <w:pPr>
        <w:pStyle w:val="ListParagraph"/>
        <w:spacing w:after="0" w:line="240" w:lineRule="auto"/>
        <w:jc w:val="right"/>
        <w:rPr>
          <w:rFonts w:ascii="Arial" w:hAnsi="Arial" w:cs="Arial"/>
          <w:b/>
          <w:bCs/>
          <w:sz w:val="18"/>
          <w:szCs w:val="18"/>
        </w:rPr>
      </w:pPr>
    </w:p>
    <w:p w14:paraId="68FD2F8F" w14:textId="77777777" w:rsidR="00066580" w:rsidRDefault="00066580" w:rsidP="00F825EF">
      <w:pPr>
        <w:pStyle w:val="ListParagraph"/>
        <w:spacing w:after="0" w:line="240" w:lineRule="auto"/>
        <w:jc w:val="right"/>
        <w:rPr>
          <w:rFonts w:ascii="Arial" w:hAnsi="Arial" w:cs="Arial"/>
          <w:b/>
          <w:bCs/>
          <w:sz w:val="18"/>
          <w:szCs w:val="18"/>
        </w:rPr>
      </w:pPr>
    </w:p>
    <w:p w14:paraId="7B99C70A" w14:textId="77777777" w:rsidR="00066580" w:rsidRDefault="00066580" w:rsidP="00F825EF">
      <w:pPr>
        <w:pStyle w:val="ListParagraph"/>
        <w:spacing w:after="0" w:line="240" w:lineRule="auto"/>
        <w:jc w:val="right"/>
        <w:rPr>
          <w:rFonts w:ascii="Arial" w:hAnsi="Arial" w:cs="Arial"/>
          <w:b/>
          <w:bCs/>
          <w:sz w:val="18"/>
          <w:szCs w:val="18"/>
        </w:rPr>
      </w:pPr>
    </w:p>
    <w:p w14:paraId="216F36E0" w14:textId="77777777" w:rsidR="00066580" w:rsidRDefault="00066580" w:rsidP="00F825EF">
      <w:pPr>
        <w:pStyle w:val="ListParagraph"/>
        <w:spacing w:after="0" w:line="240" w:lineRule="auto"/>
        <w:jc w:val="right"/>
        <w:rPr>
          <w:rFonts w:ascii="Arial" w:hAnsi="Arial" w:cs="Arial"/>
          <w:b/>
          <w:bCs/>
          <w:sz w:val="18"/>
          <w:szCs w:val="18"/>
        </w:rPr>
      </w:pPr>
    </w:p>
    <w:p w14:paraId="01151669" w14:textId="77777777" w:rsidR="00066580" w:rsidRDefault="00066580" w:rsidP="00F825EF">
      <w:pPr>
        <w:pStyle w:val="ListParagraph"/>
        <w:spacing w:after="0" w:line="240" w:lineRule="auto"/>
        <w:jc w:val="right"/>
        <w:rPr>
          <w:rFonts w:ascii="Arial" w:hAnsi="Arial" w:cs="Arial"/>
          <w:b/>
          <w:bCs/>
          <w:sz w:val="18"/>
          <w:szCs w:val="18"/>
        </w:rPr>
      </w:pPr>
    </w:p>
    <w:p w14:paraId="01E49CC2" w14:textId="77777777" w:rsidR="00066580" w:rsidRDefault="00066580" w:rsidP="00F825EF">
      <w:pPr>
        <w:pStyle w:val="ListParagraph"/>
        <w:spacing w:after="0" w:line="240" w:lineRule="auto"/>
        <w:jc w:val="right"/>
        <w:rPr>
          <w:rFonts w:ascii="Arial" w:hAnsi="Arial" w:cs="Arial"/>
          <w:b/>
          <w:bCs/>
          <w:sz w:val="18"/>
          <w:szCs w:val="18"/>
        </w:rPr>
      </w:pPr>
    </w:p>
    <w:p w14:paraId="3CD5BC9A" w14:textId="77777777" w:rsidR="00401833" w:rsidRDefault="00401833" w:rsidP="00F825EF">
      <w:pPr>
        <w:pStyle w:val="ListParagraph"/>
        <w:spacing w:after="0" w:line="240" w:lineRule="auto"/>
        <w:jc w:val="right"/>
        <w:rPr>
          <w:rFonts w:ascii="Arial" w:hAnsi="Arial" w:cs="Arial"/>
          <w:b/>
          <w:bCs/>
          <w:sz w:val="18"/>
          <w:szCs w:val="18"/>
        </w:rPr>
      </w:pPr>
    </w:p>
    <w:p w14:paraId="20C8FCC5" w14:textId="77777777" w:rsidR="00401833" w:rsidRDefault="00401833" w:rsidP="00F825EF">
      <w:pPr>
        <w:pStyle w:val="ListParagraph"/>
        <w:spacing w:after="0" w:line="240" w:lineRule="auto"/>
        <w:jc w:val="right"/>
        <w:rPr>
          <w:rFonts w:ascii="Arial" w:hAnsi="Arial" w:cs="Arial"/>
          <w:b/>
          <w:bCs/>
          <w:sz w:val="18"/>
          <w:szCs w:val="18"/>
        </w:rPr>
      </w:pPr>
    </w:p>
    <w:p w14:paraId="6507E263" w14:textId="5D930483" w:rsidR="00C03563" w:rsidRDefault="00C03563">
      <w:pPr>
        <w:spacing w:after="0" w:line="240" w:lineRule="auto"/>
        <w:rPr>
          <w:rFonts w:eastAsiaTheme="minorHAnsi"/>
          <w:b/>
          <w:bCs/>
          <w:sz w:val="18"/>
          <w:szCs w:val="18"/>
          <w:lang w:val="en-AU" w:eastAsia="en-US"/>
        </w:rPr>
      </w:pPr>
      <w:r>
        <w:rPr>
          <w:b/>
          <w:bCs/>
          <w:sz w:val="18"/>
          <w:szCs w:val="18"/>
        </w:rPr>
        <w:br w:type="page"/>
      </w:r>
    </w:p>
    <w:p w14:paraId="6C21023C" w14:textId="77777777" w:rsidR="00401833" w:rsidRDefault="00401833" w:rsidP="00F825EF">
      <w:pPr>
        <w:pStyle w:val="ListParagraph"/>
        <w:spacing w:after="0" w:line="240" w:lineRule="auto"/>
        <w:jc w:val="right"/>
        <w:rPr>
          <w:rFonts w:ascii="Arial" w:hAnsi="Arial" w:cs="Arial"/>
          <w:b/>
          <w:bCs/>
          <w:sz w:val="18"/>
          <w:szCs w:val="18"/>
        </w:rPr>
      </w:pPr>
    </w:p>
    <w:p w14:paraId="606E2ABB" w14:textId="3B98F3C0" w:rsidR="00F825EF" w:rsidRPr="00306355" w:rsidRDefault="00F825EF" w:rsidP="00F825EF">
      <w:pPr>
        <w:pStyle w:val="ListParagraph"/>
        <w:spacing w:after="0" w:line="240" w:lineRule="auto"/>
        <w:jc w:val="right"/>
        <w:rPr>
          <w:rFonts w:ascii="Arial" w:hAnsi="Arial" w:cs="Arial"/>
          <w:b/>
          <w:bCs/>
          <w:sz w:val="18"/>
          <w:szCs w:val="18"/>
        </w:rPr>
      </w:pPr>
      <w:r w:rsidRPr="00306355">
        <w:rPr>
          <w:rFonts w:ascii="Arial" w:hAnsi="Arial" w:cs="Arial"/>
          <w:b/>
          <w:bCs/>
          <w:sz w:val="18"/>
          <w:szCs w:val="18"/>
        </w:rPr>
        <w:t>Queensland Multicultural Action Plan 2024</w:t>
      </w:r>
      <w:r w:rsidR="00E01374">
        <w:rPr>
          <w:rFonts w:ascii="Arial" w:hAnsi="Arial" w:cs="Arial"/>
          <w:b/>
          <w:bCs/>
          <w:sz w:val="18"/>
          <w:szCs w:val="18"/>
        </w:rPr>
        <w:t>–</w:t>
      </w:r>
      <w:r w:rsidRPr="00306355">
        <w:rPr>
          <w:rFonts w:ascii="Arial" w:hAnsi="Arial" w:cs="Arial"/>
          <w:b/>
          <w:bCs/>
          <w:sz w:val="18"/>
          <w:szCs w:val="18"/>
        </w:rPr>
        <w:t>25 to 2026</w:t>
      </w:r>
      <w:r w:rsidR="00E01374">
        <w:rPr>
          <w:rFonts w:ascii="Arial" w:hAnsi="Arial" w:cs="Arial"/>
          <w:b/>
          <w:bCs/>
          <w:sz w:val="18"/>
          <w:szCs w:val="18"/>
        </w:rPr>
        <w:t>–</w:t>
      </w:r>
      <w:r w:rsidRPr="00306355">
        <w:rPr>
          <w:rFonts w:ascii="Arial" w:hAnsi="Arial" w:cs="Arial"/>
          <w:b/>
          <w:bCs/>
          <w:sz w:val="18"/>
          <w:szCs w:val="18"/>
        </w:rPr>
        <w:t>27</w:t>
      </w:r>
    </w:p>
    <w:p w14:paraId="7D6A3720" w14:textId="2A1503A2" w:rsidR="00F825EF" w:rsidRPr="00306355" w:rsidRDefault="00047D09" w:rsidP="00F825EF">
      <w:pPr>
        <w:pStyle w:val="ListParagraph"/>
        <w:spacing w:after="0" w:line="240" w:lineRule="auto"/>
        <w:jc w:val="right"/>
        <w:rPr>
          <w:rFonts w:ascii="Arial" w:hAnsi="Arial" w:cs="Arial"/>
          <w:sz w:val="18"/>
          <w:szCs w:val="18"/>
        </w:rPr>
      </w:pPr>
      <w:r>
        <w:rPr>
          <w:noProof/>
        </w:rPr>
        <w:drawing>
          <wp:anchor distT="0" distB="0" distL="114300" distR="114300" simplePos="0" relativeHeight="251673600" behindDoc="1" locked="0" layoutInCell="1" allowOverlap="1" wp14:anchorId="537249BC" wp14:editId="62838152">
            <wp:simplePos x="0" y="0"/>
            <wp:positionH relativeFrom="page">
              <wp:align>left</wp:align>
            </wp:positionH>
            <wp:positionV relativeFrom="page">
              <wp:align>top</wp:align>
            </wp:positionV>
            <wp:extent cx="10906045" cy="914400"/>
            <wp:effectExtent l="0" t="0" r="0" b="0"/>
            <wp:wrapNone/>
            <wp:docPr id="1068894978" name="Picture 1" descr="A colorful borde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95005" name="Picture 1" descr="A colorful border with a white background&#10;&#10;Description automatically generated"/>
                    <pic:cNvPicPr/>
                  </pic:nvPicPr>
                  <pic:blipFill rotWithShape="1">
                    <a:blip r:embed="rId13">
                      <a:extLst>
                        <a:ext uri="{28A0092B-C50C-407E-A947-70E740481C1C}">
                          <a14:useLocalDpi xmlns:a14="http://schemas.microsoft.com/office/drawing/2010/main" val="0"/>
                        </a:ext>
                      </a:extLst>
                    </a:blip>
                    <a:srcRect b="88149"/>
                    <a:stretch/>
                  </pic:blipFill>
                  <pic:spPr bwMode="auto">
                    <a:xfrm>
                      <a:off x="0" y="0"/>
                      <a:ext cx="10906045"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825EF" w:rsidRPr="00306355">
        <w:rPr>
          <w:rFonts w:ascii="Arial" w:hAnsi="Arial" w:cs="Arial"/>
          <w:sz w:val="18"/>
          <w:szCs w:val="18"/>
        </w:rPr>
        <w:t>2024</w:t>
      </w:r>
      <w:r w:rsidR="00E01374">
        <w:rPr>
          <w:rFonts w:ascii="Arial" w:hAnsi="Arial" w:cs="Arial"/>
          <w:sz w:val="18"/>
          <w:szCs w:val="18"/>
        </w:rPr>
        <w:t>–</w:t>
      </w:r>
      <w:r w:rsidR="00F825EF" w:rsidRPr="00306355">
        <w:rPr>
          <w:rFonts w:ascii="Arial" w:hAnsi="Arial" w:cs="Arial"/>
          <w:sz w:val="18"/>
          <w:szCs w:val="18"/>
        </w:rPr>
        <w:t>25 Annual Reporting</w:t>
      </w:r>
    </w:p>
    <w:p w14:paraId="6ED1B5BE" w14:textId="77777777" w:rsidR="004171BA" w:rsidRPr="009D65E5" w:rsidRDefault="004171BA" w:rsidP="004171BA">
      <w:pPr>
        <w:pStyle w:val="ListParagraph"/>
        <w:spacing w:after="0" w:line="240" w:lineRule="auto"/>
        <w:jc w:val="right"/>
        <w:rPr>
          <w:rFonts w:ascii="Arial" w:hAnsi="Arial" w:cs="Arial"/>
          <w:sz w:val="18"/>
          <w:szCs w:val="18"/>
        </w:rPr>
      </w:pPr>
      <w:r w:rsidRPr="009D65E5">
        <w:rPr>
          <w:rFonts w:ascii="Arial" w:hAnsi="Arial" w:cs="Arial"/>
          <w:sz w:val="18"/>
          <w:szCs w:val="18"/>
        </w:rPr>
        <w:t xml:space="preserve">Department of </w:t>
      </w:r>
      <w:r>
        <w:rPr>
          <w:rFonts w:ascii="Arial" w:hAnsi="Arial" w:cs="Arial"/>
          <w:sz w:val="18"/>
          <w:szCs w:val="18"/>
        </w:rPr>
        <w:t>the Premier and Cabinet</w:t>
      </w:r>
    </w:p>
    <w:p w14:paraId="7E36223F" w14:textId="77777777" w:rsidR="00F825EF" w:rsidRPr="006A2C28" w:rsidRDefault="00F825EF" w:rsidP="00F825EF">
      <w:pPr>
        <w:keepNext/>
        <w:keepLines/>
        <w:spacing w:before="240" w:after="0"/>
        <w:ind w:firstLine="720"/>
        <w:outlineLvl w:val="0"/>
        <w:rPr>
          <w:rFonts w:eastAsiaTheme="majorEastAsia"/>
          <w:b/>
          <w:sz w:val="36"/>
          <w:szCs w:val="36"/>
        </w:rPr>
      </w:pPr>
      <w:r w:rsidRPr="00F825EF">
        <w:rPr>
          <w:rFonts w:ascii="Wingdings" w:eastAsiaTheme="majorEastAsia" w:hAnsi="Wingdings"/>
          <w:b/>
          <w:bCs/>
          <w:color w:val="691E61"/>
          <w:sz w:val="36"/>
          <w:szCs w:val="36"/>
        </w:rPr>
        <w:sym w:font="Wingdings" w:char="F06C"/>
      </w:r>
      <w:r w:rsidRPr="00F825EF">
        <w:rPr>
          <w:rFonts w:ascii="Wingdings" w:eastAsiaTheme="majorEastAsia" w:hAnsi="Wingdings"/>
          <w:b/>
          <w:bCs/>
          <w:color w:val="691E61"/>
          <w:sz w:val="36"/>
          <w:szCs w:val="36"/>
        </w:rPr>
        <w:t xml:space="preserve"> </w:t>
      </w:r>
      <w:r w:rsidRPr="00F825EF">
        <w:rPr>
          <w:rFonts w:ascii="Arial Black" w:eastAsiaTheme="majorEastAsia" w:hAnsi="Arial Black"/>
          <w:b/>
          <w:bCs/>
          <w:color w:val="691E61"/>
          <w:sz w:val="36"/>
          <w:szCs w:val="36"/>
        </w:rPr>
        <w:t>Focus Area 4</w:t>
      </w:r>
      <w:r w:rsidRPr="00F825EF">
        <w:rPr>
          <w:rFonts w:eastAsiaTheme="majorEastAsia"/>
          <w:b/>
          <w:color w:val="691E61"/>
          <w:sz w:val="36"/>
          <w:szCs w:val="36"/>
        </w:rPr>
        <w:t xml:space="preserve">: </w:t>
      </w:r>
      <w:r>
        <w:rPr>
          <w:rFonts w:eastAsiaTheme="majorEastAsia"/>
          <w:b/>
          <w:sz w:val="36"/>
          <w:szCs w:val="36"/>
        </w:rPr>
        <w:t>Promote Social Cohesion</w:t>
      </w:r>
      <w:r w:rsidRPr="006A2C28">
        <w:rPr>
          <w:rFonts w:eastAsiaTheme="majorEastAsia"/>
          <w:b/>
          <w:sz w:val="36"/>
          <w:szCs w:val="36"/>
        </w:rPr>
        <w:t xml:space="preserve"> </w:t>
      </w:r>
    </w:p>
    <w:p w14:paraId="7DCCBE33" w14:textId="77777777" w:rsidR="00F825EF" w:rsidRPr="009923F8" w:rsidRDefault="00F825EF" w:rsidP="00F825EF">
      <w:pPr>
        <w:spacing w:after="0" w:line="240" w:lineRule="auto"/>
        <w:rPr>
          <w:sz w:val="22"/>
          <w:szCs w:val="22"/>
        </w:rPr>
      </w:pPr>
    </w:p>
    <w:p w14:paraId="32A99959" w14:textId="77777777" w:rsidR="007917D6" w:rsidRPr="00CC20F9" w:rsidRDefault="007917D6" w:rsidP="00AB3344">
      <w:pPr>
        <w:pStyle w:val="ListParagraph"/>
        <w:spacing w:after="0" w:line="240" w:lineRule="auto"/>
        <w:rPr>
          <w:rFonts w:ascii="Arial" w:eastAsia="Times New Roman" w:hAnsi="Arial" w:cs="Arial"/>
          <w:i/>
          <w:iCs/>
        </w:rPr>
      </w:pPr>
      <w:r w:rsidRPr="007917D6">
        <w:rPr>
          <w:rFonts w:ascii="Arial" w:eastAsia="Times New Roman" w:hAnsi="Arial" w:cs="Arial"/>
          <w:sz w:val="24"/>
          <w:szCs w:val="24"/>
        </w:rPr>
        <w:t xml:space="preserve">All Queenslanders have a responsibility to foster social cohesion in our communities. The Queensland Government will take action to respect and celebrate the contributions of Queenslanders from diverse backgrounds. </w:t>
      </w:r>
    </w:p>
    <w:p w14:paraId="2F6CB7AF" w14:textId="77777777" w:rsidR="00F825EF" w:rsidRPr="00306355" w:rsidRDefault="00F825EF" w:rsidP="00F825EF">
      <w:pPr>
        <w:spacing w:after="0" w:line="240" w:lineRule="auto"/>
        <w:rPr>
          <w:sz w:val="2"/>
          <w:szCs w:val="2"/>
        </w:rPr>
      </w:pPr>
    </w:p>
    <w:p w14:paraId="78CF91EF" w14:textId="77777777" w:rsidR="00F825EF" w:rsidRDefault="00F825EF" w:rsidP="00F825EF">
      <w:pPr>
        <w:spacing w:after="0" w:line="240" w:lineRule="auto"/>
      </w:pPr>
    </w:p>
    <w:tbl>
      <w:tblPr>
        <w:tblStyle w:val="TableGrid"/>
        <w:tblW w:w="5000" w:type="pct"/>
        <w:tblInd w:w="279" w:type="dxa"/>
        <w:tblLayout w:type="fixed"/>
        <w:tblCellMar>
          <w:top w:w="85" w:type="dxa"/>
          <w:bottom w:w="85" w:type="dxa"/>
        </w:tblCellMar>
        <w:tblLook w:val="04A0" w:firstRow="1" w:lastRow="0" w:firstColumn="1" w:lastColumn="0" w:noHBand="0" w:noVBand="1"/>
      </w:tblPr>
      <w:tblGrid>
        <w:gridCol w:w="5104"/>
        <w:gridCol w:w="1699"/>
        <w:gridCol w:w="8182"/>
      </w:tblGrid>
      <w:tr w:rsidR="00225D89" w:rsidRPr="00BC63A9" w14:paraId="26373DF2" w14:textId="77777777" w:rsidTr="004171BA">
        <w:trPr>
          <w:trHeight w:val="866"/>
          <w:tblHeader/>
        </w:trPr>
        <w:tc>
          <w:tcPr>
            <w:tcW w:w="1703" w:type="pct"/>
            <w:shd w:val="clear" w:color="auto" w:fill="D9D9D9" w:themeFill="background1" w:themeFillShade="D9"/>
            <w:vAlign w:val="center"/>
          </w:tcPr>
          <w:p w14:paraId="4E1E641A" w14:textId="77777777" w:rsidR="00225D89" w:rsidRPr="00BC63A9" w:rsidRDefault="00225D89" w:rsidP="00BF7CD5">
            <w:pPr>
              <w:autoSpaceDE w:val="0"/>
              <w:autoSpaceDN w:val="0"/>
              <w:adjustRightInd w:val="0"/>
              <w:spacing w:after="120"/>
              <w:rPr>
                <w:rFonts w:ascii="Arial" w:hAnsi="Arial"/>
                <w:b/>
                <w:sz w:val="20"/>
                <w:szCs w:val="20"/>
              </w:rPr>
            </w:pPr>
            <w:r w:rsidRPr="00BC63A9">
              <w:rPr>
                <w:rFonts w:ascii="Arial" w:hAnsi="Arial"/>
                <w:b/>
                <w:sz w:val="20"/>
                <w:szCs w:val="20"/>
              </w:rPr>
              <w:t xml:space="preserve">Agency </w:t>
            </w:r>
            <w:r>
              <w:rPr>
                <w:rFonts w:ascii="Arial" w:hAnsi="Arial"/>
                <w:b/>
                <w:sz w:val="20"/>
                <w:szCs w:val="20"/>
              </w:rPr>
              <w:t>actions</w:t>
            </w:r>
            <w:r w:rsidRPr="00BC63A9">
              <w:rPr>
                <w:rFonts w:ascii="Arial" w:hAnsi="Arial"/>
                <w:b/>
                <w:sz w:val="20"/>
                <w:szCs w:val="20"/>
              </w:rPr>
              <w:t xml:space="preserve"> supporting </w:t>
            </w:r>
            <w:r w:rsidRPr="00F825EF">
              <w:rPr>
                <w:rFonts w:ascii="Arial" w:hAnsi="Arial"/>
                <w:b/>
                <w:color w:val="691E61"/>
                <w:sz w:val="20"/>
                <w:szCs w:val="20"/>
              </w:rPr>
              <w:t xml:space="preserve">Focus Area </w:t>
            </w:r>
            <w:r>
              <w:rPr>
                <w:rFonts w:ascii="Arial" w:hAnsi="Arial"/>
                <w:b/>
                <w:color w:val="691E61"/>
                <w:sz w:val="20"/>
                <w:szCs w:val="20"/>
              </w:rPr>
              <w:t>4</w:t>
            </w:r>
          </w:p>
        </w:tc>
        <w:tc>
          <w:tcPr>
            <w:tcW w:w="567" w:type="pct"/>
            <w:shd w:val="clear" w:color="auto" w:fill="D9D9D9" w:themeFill="background1" w:themeFillShade="D9"/>
            <w:vAlign w:val="center"/>
          </w:tcPr>
          <w:p w14:paraId="7EF31108" w14:textId="42A1EF6D" w:rsidR="00225D89" w:rsidRPr="00BC63A9" w:rsidRDefault="00225D89" w:rsidP="00BF7CD5">
            <w:pPr>
              <w:autoSpaceDE w:val="0"/>
              <w:autoSpaceDN w:val="0"/>
              <w:adjustRightInd w:val="0"/>
              <w:spacing w:after="120"/>
              <w:jc w:val="center"/>
              <w:rPr>
                <w:rFonts w:ascii="Arial" w:hAnsi="Arial"/>
                <w:b/>
                <w:sz w:val="20"/>
                <w:szCs w:val="20"/>
              </w:rPr>
            </w:pPr>
            <w:r w:rsidRPr="00BC63A9">
              <w:rPr>
                <w:rFonts w:ascii="Arial" w:hAnsi="Arial"/>
                <w:b/>
                <w:sz w:val="20"/>
                <w:szCs w:val="20"/>
              </w:rPr>
              <w:t>Progress</w:t>
            </w:r>
            <w:r>
              <w:rPr>
                <w:rFonts w:ascii="Arial" w:hAnsi="Arial"/>
                <w:b/>
                <w:sz w:val="20"/>
                <w:szCs w:val="20"/>
              </w:rPr>
              <w:t>/</w:t>
            </w:r>
            <w:r w:rsidRPr="00BC63A9">
              <w:rPr>
                <w:rFonts w:ascii="Arial" w:hAnsi="Arial"/>
                <w:b/>
                <w:sz w:val="20"/>
                <w:szCs w:val="20"/>
              </w:rPr>
              <w:t xml:space="preserve"> status for 202</w:t>
            </w:r>
            <w:r>
              <w:rPr>
                <w:rFonts w:ascii="Arial" w:hAnsi="Arial"/>
                <w:b/>
                <w:sz w:val="20"/>
                <w:szCs w:val="20"/>
              </w:rPr>
              <w:t>4</w:t>
            </w:r>
            <w:r w:rsidR="00E01374">
              <w:rPr>
                <w:rFonts w:ascii="Arial" w:hAnsi="Arial"/>
                <w:b/>
                <w:sz w:val="20"/>
                <w:szCs w:val="20"/>
              </w:rPr>
              <w:t>–</w:t>
            </w:r>
            <w:r w:rsidRPr="00BC63A9">
              <w:rPr>
                <w:rFonts w:ascii="Arial" w:hAnsi="Arial"/>
                <w:b/>
                <w:sz w:val="20"/>
                <w:szCs w:val="20"/>
              </w:rPr>
              <w:t>2</w:t>
            </w:r>
            <w:r>
              <w:rPr>
                <w:rFonts w:ascii="Arial" w:hAnsi="Arial"/>
                <w:b/>
                <w:sz w:val="20"/>
                <w:szCs w:val="20"/>
              </w:rPr>
              <w:t>5</w:t>
            </w:r>
          </w:p>
        </w:tc>
        <w:tc>
          <w:tcPr>
            <w:tcW w:w="2730" w:type="pct"/>
            <w:shd w:val="clear" w:color="auto" w:fill="D9D9D9" w:themeFill="background1" w:themeFillShade="D9"/>
            <w:vAlign w:val="center"/>
          </w:tcPr>
          <w:p w14:paraId="4DE16D12" w14:textId="77777777" w:rsidR="00225D89" w:rsidRPr="00BC63A9" w:rsidRDefault="00225D89" w:rsidP="00BF7CD5">
            <w:pPr>
              <w:autoSpaceDE w:val="0"/>
              <w:autoSpaceDN w:val="0"/>
              <w:adjustRightInd w:val="0"/>
              <w:spacing w:after="120"/>
              <w:rPr>
                <w:rFonts w:ascii="Arial" w:hAnsi="Arial"/>
                <w:b/>
                <w:sz w:val="20"/>
                <w:szCs w:val="20"/>
              </w:rPr>
            </w:pPr>
            <w:r w:rsidRPr="00BC63A9">
              <w:rPr>
                <w:rFonts w:ascii="Arial" w:hAnsi="Arial"/>
                <w:b/>
                <w:sz w:val="20"/>
                <w:szCs w:val="20"/>
              </w:rPr>
              <w:t>Outcomes achieved for people from culturally and linguistically diverse backgrounds</w:t>
            </w:r>
          </w:p>
          <w:p w14:paraId="5C222D78" w14:textId="2031AFE5" w:rsidR="00225D89" w:rsidRPr="00BC63A9" w:rsidRDefault="00225D89" w:rsidP="00BF7CD5">
            <w:pPr>
              <w:autoSpaceDE w:val="0"/>
              <w:autoSpaceDN w:val="0"/>
              <w:adjustRightInd w:val="0"/>
              <w:spacing w:after="120"/>
              <w:rPr>
                <w:rFonts w:ascii="Arial" w:hAnsi="Arial"/>
                <w:i/>
                <w:iCs/>
                <w:sz w:val="18"/>
                <w:szCs w:val="18"/>
              </w:rPr>
            </w:pPr>
          </w:p>
        </w:tc>
      </w:tr>
      <w:tr w:rsidR="00225D89" w:rsidRPr="00BC63A9" w14:paraId="507E05B3" w14:textId="77777777" w:rsidTr="004171BA">
        <w:trPr>
          <w:trHeight w:val="790"/>
        </w:trPr>
        <w:tc>
          <w:tcPr>
            <w:tcW w:w="1703" w:type="pct"/>
            <w:vAlign w:val="center"/>
          </w:tcPr>
          <w:p w14:paraId="30502F3A" w14:textId="77777777" w:rsidR="00225D89" w:rsidRPr="002F4B24" w:rsidRDefault="008F6D89" w:rsidP="004171BA">
            <w:pPr>
              <w:pStyle w:val="Heading1"/>
              <w:numPr>
                <w:ilvl w:val="0"/>
                <w:numId w:val="0"/>
              </w:numPr>
              <w:rPr>
                <w:rFonts w:ascii="Arial" w:hAnsi="Arial"/>
                <w:b w:val="0"/>
                <w:bCs/>
                <w:color w:val="4F81BD" w:themeColor="accent1"/>
                <w:sz w:val="18"/>
                <w:szCs w:val="18"/>
              </w:rPr>
            </w:pPr>
            <w:r w:rsidRPr="002F4B24">
              <w:rPr>
                <w:rFonts w:ascii="Arial" w:hAnsi="Arial"/>
                <w:sz w:val="18"/>
                <w:szCs w:val="18"/>
              </w:rPr>
              <w:t>All Agencies Action</w:t>
            </w:r>
            <w:r w:rsidRPr="002F4B24">
              <w:rPr>
                <w:rFonts w:ascii="Arial" w:hAnsi="Arial"/>
                <w:b w:val="0"/>
                <w:bCs/>
                <w:sz w:val="18"/>
                <w:szCs w:val="18"/>
              </w:rPr>
              <w:t xml:space="preserve"> – Take a strong stance against racism, and actively promote anti-racism messages to staff, clients and communities in line with each agency’s unique context.</w:t>
            </w:r>
          </w:p>
        </w:tc>
        <w:tc>
          <w:tcPr>
            <w:tcW w:w="567" w:type="pct"/>
          </w:tcPr>
          <w:p w14:paraId="0F309466" w14:textId="56B88547" w:rsidR="00225D89" w:rsidRPr="002F4B24" w:rsidRDefault="00000000" w:rsidP="00BF7CD5">
            <w:pPr>
              <w:pStyle w:val="Heading1"/>
              <w:numPr>
                <w:ilvl w:val="0"/>
                <w:numId w:val="0"/>
              </w:numPr>
              <w:rPr>
                <w:rFonts w:ascii="Arial" w:hAnsi="Arial"/>
                <w:bCs/>
                <w:sz w:val="18"/>
                <w:szCs w:val="18"/>
              </w:rPr>
            </w:pPr>
            <w:sdt>
              <w:sdtPr>
                <w:rPr>
                  <w:bCs/>
                  <w:sz w:val="18"/>
                  <w:szCs w:val="18"/>
                </w:rPr>
                <w:alias w:val="Final Status"/>
                <w:tag w:val="Final Status"/>
                <w:id w:val="713467166"/>
                <w:placeholder>
                  <w:docPart w:val="0B06C917FC2E4CCE806F93105B1C4F71"/>
                </w:placeholder>
                <w:dropDownList>
                  <w:listItem w:displayText="Choose a final status" w:value="Choose a final status"/>
                  <w:listItem w:displayText="Delivered" w:value="Delivered"/>
                  <w:listItem w:displayText="Not delivered" w:value="Not delivered"/>
                </w:dropDownList>
              </w:sdtPr>
              <w:sdtContent>
                <w:r w:rsidR="000D2181" w:rsidRPr="002F4B24">
                  <w:rPr>
                    <w:rFonts w:ascii="Arial" w:hAnsi="Arial"/>
                    <w:bCs/>
                    <w:sz w:val="18"/>
                    <w:szCs w:val="18"/>
                  </w:rPr>
                  <w:t>Delivered</w:t>
                </w:r>
              </w:sdtContent>
            </w:sdt>
            <w:r w:rsidR="00225D89" w:rsidRPr="002F4B24" w:rsidDel="00587F58">
              <w:rPr>
                <w:rFonts w:ascii="Arial" w:hAnsi="Arial"/>
                <w:bCs/>
                <w:sz w:val="18"/>
                <w:szCs w:val="18"/>
              </w:rPr>
              <w:t xml:space="preserve"> </w:t>
            </w:r>
          </w:p>
        </w:tc>
        <w:tc>
          <w:tcPr>
            <w:tcW w:w="2730" w:type="pct"/>
          </w:tcPr>
          <w:p w14:paraId="3915134E" w14:textId="079CCAA0" w:rsidR="000D2181" w:rsidRPr="002F4B24" w:rsidRDefault="000D5846" w:rsidP="000D2181">
            <w:pPr>
              <w:rPr>
                <w:rFonts w:ascii="Arial" w:eastAsiaTheme="majorEastAsia" w:hAnsi="Arial"/>
                <w:sz w:val="18"/>
                <w:szCs w:val="18"/>
              </w:rPr>
            </w:pPr>
            <w:r>
              <w:rPr>
                <w:rFonts w:ascii="Arial" w:eastAsiaTheme="majorEastAsia" w:hAnsi="Arial"/>
                <w:sz w:val="18"/>
                <w:szCs w:val="18"/>
              </w:rPr>
              <w:t>DPC</w:t>
            </w:r>
            <w:r w:rsidR="00AC7D3E" w:rsidRPr="002F4B24">
              <w:rPr>
                <w:rFonts w:ascii="Arial" w:eastAsiaTheme="majorEastAsia" w:hAnsi="Arial"/>
                <w:sz w:val="18"/>
                <w:szCs w:val="18"/>
              </w:rPr>
              <w:t xml:space="preserve"> </w:t>
            </w:r>
            <w:r w:rsidR="000D2181" w:rsidRPr="002F4B24">
              <w:rPr>
                <w:rFonts w:ascii="Arial" w:eastAsiaTheme="majorEastAsia" w:hAnsi="Arial"/>
                <w:sz w:val="18"/>
                <w:szCs w:val="18"/>
              </w:rPr>
              <w:t>developed and piloted an Anti-Racism Conversation Guide to support meaningful, trauma-informed discussions in a psychologically safe and respectful environment.</w:t>
            </w:r>
            <w:r w:rsidR="00E822E8">
              <w:rPr>
                <w:rFonts w:ascii="Arial" w:eastAsiaTheme="majorEastAsia" w:hAnsi="Arial"/>
                <w:sz w:val="18"/>
                <w:szCs w:val="18"/>
              </w:rPr>
              <w:t xml:space="preserve"> </w:t>
            </w:r>
            <w:r w:rsidR="000D2181" w:rsidRPr="002F4B24">
              <w:rPr>
                <w:rFonts w:ascii="Arial" w:eastAsiaTheme="majorEastAsia" w:hAnsi="Arial"/>
                <w:sz w:val="18"/>
                <w:szCs w:val="18"/>
              </w:rPr>
              <w:t xml:space="preserve">Following pilot sessions and consultation, the guide is being refined to ensure it fosters safe, open and constructive dialogue. </w:t>
            </w:r>
          </w:p>
          <w:p w14:paraId="78926170" w14:textId="77777777" w:rsidR="000D2181" w:rsidRPr="002F4B24" w:rsidRDefault="000D2181" w:rsidP="000D2181">
            <w:pPr>
              <w:rPr>
                <w:rFonts w:ascii="Arial" w:eastAsiaTheme="majorEastAsia" w:hAnsi="Arial"/>
                <w:bCs/>
                <w:sz w:val="18"/>
                <w:szCs w:val="18"/>
              </w:rPr>
            </w:pPr>
            <w:r w:rsidRPr="002F4B24">
              <w:rPr>
                <w:rFonts w:ascii="Arial" w:eastAsiaTheme="majorEastAsia" w:hAnsi="Arial"/>
                <w:bCs/>
                <w:sz w:val="18"/>
                <w:szCs w:val="18"/>
              </w:rPr>
              <w:t>DPC also actively promoted anti-racism initiatives dates and events, including:</w:t>
            </w:r>
          </w:p>
          <w:p w14:paraId="22B0F82E" w14:textId="77777777" w:rsidR="000D2181" w:rsidRPr="002F4B24" w:rsidRDefault="000D2181" w:rsidP="000D2181">
            <w:pPr>
              <w:pStyle w:val="ListParagraph"/>
              <w:numPr>
                <w:ilvl w:val="0"/>
                <w:numId w:val="20"/>
              </w:numPr>
              <w:spacing w:after="200" w:line="276" w:lineRule="auto"/>
              <w:rPr>
                <w:rFonts w:ascii="Arial" w:eastAsiaTheme="majorEastAsia" w:hAnsi="Arial" w:cs="Arial"/>
                <w:bCs/>
                <w:sz w:val="18"/>
                <w:szCs w:val="18"/>
              </w:rPr>
            </w:pPr>
            <w:r w:rsidRPr="002F4B24">
              <w:rPr>
                <w:rFonts w:ascii="Arial" w:eastAsiaTheme="majorEastAsia" w:hAnsi="Arial" w:cs="Arial"/>
                <w:bCs/>
                <w:sz w:val="18"/>
                <w:szCs w:val="18"/>
              </w:rPr>
              <w:t xml:space="preserve">Racism. It Stops </w:t>
            </w:r>
            <w:proofErr w:type="gramStart"/>
            <w:r w:rsidRPr="002F4B24">
              <w:rPr>
                <w:rFonts w:ascii="Arial" w:eastAsiaTheme="majorEastAsia" w:hAnsi="Arial" w:cs="Arial"/>
                <w:bCs/>
                <w:sz w:val="18"/>
                <w:szCs w:val="18"/>
              </w:rPr>
              <w:t>With</w:t>
            </w:r>
            <w:proofErr w:type="gramEnd"/>
            <w:r w:rsidRPr="002F4B24">
              <w:rPr>
                <w:rFonts w:ascii="Arial" w:eastAsiaTheme="majorEastAsia" w:hAnsi="Arial" w:cs="Arial"/>
                <w:bCs/>
                <w:sz w:val="18"/>
                <w:szCs w:val="18"/>
              </w:rPr>
              <w:t xml:space="preserve"> Me</w:t>
            </w:r>
          </w:p>
          <w:p w14:paraId="7A2DC52A" w14:textId="77777777" w:rsidR="000D2181" w:rsidRPr="002F4B24" w:rsidRDefault="000D2181" w:rsidP="000D2181">
            <w:pPr>
              <w:pStyle w:val="ListParagraph"/>
              <w:numPr>
                <w:ilvl w:val="0"/>
                <w:numId w:val="20"/>
              </w:numPr>
              <w:spacing w:after="200" w:line="276" w:lineRule="auto"/>
              <w:rPr>
                <w:rFonts w:ascii="Arial" w:eastAsiaTheme="majorEastAsia" w:hAnsi="Arial" w:cs="Arial"/>
                <w:bCs/>
                <w:sz w:val="18"/>
                <w:szCs w:val="18"/>
              </w:rPr>
            </w:pPr>
            <w:r w:rsidRPr="002F4B24">
              <w:rPr>
                <w:rFonts w:ascii="Arial" w:eastAsiaTheme="majorEastAsia" w:hAnsi="Arial" w:cs="Arial"/>
                <w:bCs/>
                <w:sz w:val="18"/>
                <w:szCs w:val="18"/>
              </w:rPr>
              <w:t>Unite Against Racism toolkit</w:t>
            </w:r>
          </w:p>
          <w:p w14:paraId="48F1CEE6" w14:textId="77777777" w:rsidR="000D2181" w:rsidRPr="002F4B24" w:rsidRDefault="000D2181" w:rsidP="000D2181">
            <w:pPr>
              <w:pStyle w:val="ListParagraph"/>
              <w:numPr>
                <w:ilvl w:val="0"/>
                <w:numId w:val="20"/>
              </w:numPr>
              <w:spacing w:after="200" w:line="276" w:lineRule="auto"/>
              <w:rPr>
                <w:rFonts w:ascii="Arial" w:eastAsiaTheme="majorEastAsia" w:hAnsi="Arial" w:cs="Arial"/>
                <w:bCs/>
                <w:sz w:val="18"/>
                <w:szCs w:val="18"/>
              </w:rPr>
            </w:pPr>
            <w:r w:rsidRPr="002F4B24">
              <w:rPr>
                <w:rFonts w:ascii="Arial" w:eastAsiaTheme="majorEastAsia" w:hAnsi="Arial" w:cs="Arial"/>
                <w:bCs/>
                <w:sz w:val="18"/>
                <w:szCs w:val="18"/>
              </w:rPr>
              <w:t>Australian Human Rights Commission webinar: Dismantling Systemic Racism – Perspectives from First Nations Peoples</w:t>
            </w:r>
          </w:p>
          <w:p w14:paraId="7F9B2418" w14:textId="77777777" w:rsidR="000D2181" w:rsidRPr="002F4B24" w:rsidRDefault="000D2181" w:rsidP="000D2181">
            <w:pPr>
              <w:pStyle w:val="ListParagraph"/>
              <w:numPr>
                <w:ilvl w:val="0"/>
                <w:numId w:val="20"/>
              </w:numPr>
              <w:spacing w:after="200" w:line="276" w:lineRule="auto"/>
              <w:rPr>
                <w:rFonts w:ascii="Arial" w:eastAsiaTheme="majorEastAsia" w:hAnsi="Arial" w:cs="Arial"/>
                <w:bCs/>
                <w:sz w:val="18"/>
                <w:szCs w:val="18"/>
              </w:rPr>
            </w:pPr>
            <w:r w:rsidRPr="002F4B24">
              <w:rPr>
                <w:rFonts w:ascii="Arial" w:eastAsiaTheme="majorEastAsia" w:hAnsi="Arial" w:cs="Arial"/>
                <w:bCs/>
                <w:sz w:val="18"/>
                <w:szCs w:val="18"/>
              </w:rPr>
              <w:t>International Day for the Elimination of Racial Discrimination</w:t>
            </w:r>
          </w:p>
          <w:p w14:paraId="7DC4A50D" w14:textId="77777777" w:rsidR="000D2181" w:rsidRPr="002F4B24" w:rsidRDefault="000D2181" w:rsidP="000D2181">
            <w:pPr>
              <w:pStyle w:val="ListParagraph"/>
              <w:numPr>
                <w:ilvl w:val="0"/>
                <w:numId w:val="20"/>
              </w:numPr>
              <w:spacing w:after="200" w:line="276" w:lineRule="auto"/>
              <w:rPr>
                <w:rFonts w:ascii="Arial" w:eastAsiaTheme="majorEastAsia" w:hAnsi="Arial" w:cs="Arial"/>
                <w:bCs/>
                <w:sz w:val="18"/>
                <w:szCs w:val="18"/>
              </w:rPr>
            </w:pPr>
            <w:r w:rsidRPr="002F4B24">
              <w:rPr>
                <w:rFonts w:ascii="Arial" w:eastAsiaTheme="majorEastAsia" w:hAnsi="Arial" w:cs="Arial"/>
                <w:bCs/>
                <w:sz w:val="18"/>
                <w:szCs w:val="18"/>
              </w:rPr>
              <w:t>Multicultural Queensland Month.</w:t>
            </w:r>
          </w:p>
          <w:p w14:paraId="55B9B5BD" w14:textId="77777777" w:rsidR="00225D89" w:rsidRPr="002F4B24" w:rsidRDefault="00225D89" w:rsidP="00BF7CD5">
            <w:pPr>
              <w:pStyle w:val="Heading1"/>
              <w:numPr>
                <w:ilvl w:val="0"/>
                <w:numId w:val="0"/>
              </w:numPr>
              <w:ind w:left="432" w:hanging="432"/>
              <w:rPr>
                <w:rFonts w:ascii="Arial" w:hAnsi="Arial"/>
                <w:bCs/>
                <w:sz w:val="18"/>
                <w:szCs w:val="18"/>
              </w:rPr>
            </w:pPr>
          </w:p>
        </w:tc>
      </w:tr>
    </w:tbl>
    <w:p w14:paraId="0DAD8F67" w14:textId="77777777" w:rsidR="00F825EF" w:rsidRPr="003B09F2" w:rsidRDefault="00F825EF" w:rsidP="00F825EF">
      <w:pPr>
        <w:spacing w:after="0" w:line="240" w:lineRule="auto"/>
      </w:pPr>
      <w:r w:rsidRPr="003B09F2">
        <w:t xml:space="preserve"> </w:t>
      </w:r>
    </w:p>
    <w:tbl>
      <w:tblPr>
        <w:tblStyle w:val="TableGrid"/>
        <w:tblW w:w="15025" w:type="dxa"/>
        <w:tblInd w:w="279" w:type="dxa"/>
        <w:tblLook w:val="04A0" w:firstRow="1" w:lastRow="0" w:firstColumn="1" w:lastColumn="0" w:noHBand="0" w:noVBand="1"/>
      </w:tblPr>
      <w:tblGrid>
        <w:gridCol w:w="15025"/>
      </w:tblGrid>
      <w:tr w:rsidR="00F825EF" w14:paraId="33F81098" w14:textId="77777777" w:rsidTr="00225D89">
        <w:trPr>
          <w:trHeight w:val="455"/>
        </w:trPr>
        <w:tc>
          <w:tcPr>
            <w:tcW w:w="15025" w:type="dxa"/>
            <w:shd w:val="clear" w:color="auto" w:fill="EAF1DD" w:themeFill="accent3" w:themeFillTint="33"/>
          </w:tcPr>
          <w:p w14:paraId="5663210F" w14:textId="77777777" w:rsidR="00F825EF" w:rsidRPr="00702571" w:rsidRDefault="00F825EF" w:rsidP="00BF7CD5">
            <w:pPr>
              <w:autoSpaceDE w:val="0"/>
              <w:autoSpaceDN w:val="0"/>
              <w:adjustRightInd w:val="0"/>
              <w:rPr>
                <w:rFonts w:ascii="Arial" w:hAnsi="Arial"/>
                <w:b/>
                <w:i/>
                <w:iCs/>
                <w:sz w:val="20"/>
                <w:szCs w:val="20"/>
              </w:rPr>
            </w:pPr>
            <w:r w:rsidRPr="0044192C">
              <w:rPr>
                <w:rFonts w:ascii="Arial" w:hAnsi="Arial"/>
                <w:b/>
                <w:i/>
                <w:iCs/>
                <w:sz w:val="20"/>
                <w:szCs w:val="20"/>
              </w:rPr>
              <w:t xml:space="preserve">Case studies or good news stories to highlight achievements relevant to </w:t>
            </w:r>
            <w:r w:rsidRPr="00F825EF">
              <w:rPr>
                <w:rFonts w:ascii="Arial" w:hAnsi="Arial"/>
                <w:b/>
                <w:i/>
                <w:iCs/>
                <w:color w:val="691E61"/>
                <w:sz w:val="20"/>
                <w:szCs w:val="20"/>
              </w:rPr>
              <w:t xml:space="preserve">Focus Area 4:  </w:t>
            </w:r>
          </w:p>
        </w:tc>
      </w:tr>
      <w:tr w:rsidR="00F825EF" w14:paraId="22613F4A" w14:textId="77777777" w:rsidTr="00225D89">
        <w:trPr>
          <w:cantSplit/>
          <w:trHeight w:val="256"/>
        </w:trPr>
        <w:tc>
          <w:tcPr>
            <w:tcW w:w="15025" w:type="dxa"/>
          </w:tcPr>
          <w:p w14:paraId="4EA17062" w14:textId="77777777" w:rsidR="00F825EF" w:rsidRPr="00C04962" w:rsidRDefault="00F825EF" w:rsidP="00BF7CD5">
            <w:pPr>
              <w:rPr>
                <w:rFonts w:ascii="Arial" w:hAnsi="Arial"/>
                <w:bCs/>
                <w:i/>
                <w:iCs/>
                <w:sz w:val="18"/>
                <w:szCs w:val="18"/>
              </w:rPr>
            </w:pPr>
          </w:p>
        </w:tc>
      </w:tr>
    </w:tbl>
    <w:p w14:paraId="07C5ABA4" w14:textId="77777777" w:rsidR="009D65E5" w:rsidRDefault="009D65E5" w:rsidP="007E2187">
      <w:pPr>
        <w:pStyle w:val="ListParagraph"/>
        <w:spacing w:after="0" w:line="240" w:lineRule="auto"/>
        <w:rPr>
          <w:rFonts w:ascii="Arial" w:eastAsia="Times New Roman" w:hAnsi="Arial" w:cs="Arial"/>
          <w:sz w:val="21"/>
          <w:szCs w:val="21"/>
        </w:rPr>
      </w:pPr>
    </w:p>
    <w:p w14:paraId="1C5712A0" w14:textId="77777777" w:rsidR="009D65E5" w:rsidRPr="006A2C28" w:rsidRDefault="009D65E5" w:rsidP="007E2187">
      <w:pPr>
        <w:pStyle w:val="ListParagraph"/>
        <w:spacing w:after="0" w:line="240" w:lineRule="auto"/>
        <w:rPr>
          <w:rFonts w:ascii="Arial" w:eastAsia="Times New Roman" w:hAnsi="Arial" w:cs="Arial"/>
          <w:sz w:val="21"/>
          <w:szCs w:val="21"/>
        </w:rPr>
      </w:pPr>
    </w:p>
    <w:sectPr w:rsidR="009D65E5" w:rsidRPr="006A2C28" w:rsidSect="00EC3319">
      <w:endnotePr>
        <w:numFmt w:val="decimal"/>
      </w:endnotePr>
      <w:pgSz w:w="16838" w:h="11906" w:orient="landscape" w:code="9"/>
      <w:pgMar w:top="1134" w:right="1276" w:bottom="426" w:left="567" w:header="680" w:footer="39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1D297" w14:textId="77777777" w:rsidR="00686B04" w:rsidRDefault="00686B04" w:rsidP="00DB66C3">
      <w:r>
        <w:separator/>
      </w:r>
    </w:p>
    <w:p w14:paraId="2108BF60" w14:textId="77777777" w:rsidR="00686B04" w:rsidRDefault="00686B04" w:rsidP="00DB66C3"/>
    <w:p w14:paraId="67A29B84" w14:textId="77777777" w:rsidR="00686B04" w:rsidRDefault="00686B04"/>
  </w:endnote>
  <w:endnote w:type="continuationSeparator" w:id="0">
    <w:p w14:paraId="618FE4AE" w14:textId="77777777" w:rsidR="00686B04" w:rsidRDefault="00686B04" w:rsidP="00DB66C3">
      <w:r>
        <w:continuationSeparator/>
      </w:r>
    </w:p>
    <w:p w14:paraId="6844C6D1" w14:textId="77777777" w:rsidR="00686B04" w:rsidRDefault="00686B04" w:rsidP="00DB66C3"/>
    <w:p w14:paraId="318C3770" w14:textId="77777777" w:rsidR="00686B04" w:rsidRDefault="00686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11F4" w14:textId="77777777" w:rsidR="001E25CB" w:rsidRPr="00843783" w:rsidRDefault="001E25CB" w:rsidP="00D42B4E">
    <w:pPr>
      <w:pStyle w:val="Foo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4EBC" w14:textId="77777777" w:rsidR="001E25CB" w:rsidRDefault="001E25CB" w:rsidP="00FC716F">
    <w:r>
      <w:rPr>
        <w:noProof/>
        <w:lang w:val="en-AU"/>
      </w:rPr>
      <w:drawing>
        <wp:anchor distT="0" distB="0" distL="114300" distR="114300" simplePos="0" relativeHeight="251657728" behindDoc="0" locked="0" layoutInCell="1" allowOverlap="0" wp14:anchorId="7AC2C13C" wp14:editId="1C7C1BFA">
          <wp:simplePos x="0" y="0"/>
          <wp:positionH relativeFrom="column">
            <wp:posOffset>163195</wp:posOffset>
          </wp:positionH>
          <wp:positionV relativeFrom="paragraph">
            <wp:posOffset>-3524250</wp:posOffset>
          </wp:positionV>
          <wp:extent cx="6673850" cy="454660"/>
          <wp:effectExtent l="0" t="0" r="0" b="0"/>
          <wp:wrapNone/>
          <wp:docPr id="5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0" cy="45466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FED5" w14:textId="77777777" w:rsidR="00686B04" w:rsidRDefault="00686B04">
      <w:r>
        <w:separator/>
      </w:r>
    </w:p>
  </w:footnote>
  <w:footnote w:type="continuationSeparator" w:id="0">
    <w:p w14:paraId="6B91215B" w14:textId="77777777" w:rsidR="00686B04" w:rsidRDefault="00686B04" w:rsidP="00DB6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5313" w14:textId="77777777" w:rsidR="004171BA" w:rsidRDefault="004171BA">
    <w:pPr>
      <w:pStyle w:val="Header"/>
    </w:pPr>
    <w:r>
      <w:drawing>
        <wp:anchor distT="0" distB="0" distL="114300" distR="114300" simplePos="0" relativeHeight="251675136" behindDoc="1" locked="0" layoutInCell="1" allowOverlap="1" wp14:anchorId="6379EAFA" wp14:editId="57385774">
          <wp:simplePos x="0" y="0"/>
          <wp:positionH relativeFrom="page">
            <wp:align>left</wp:align>
          </wp:positionH>
          <wp:positionV relativeFrom="page">
            <wp:align>top</wp:align>
          </wp:positionV>
          <wp:extent cx="10906045" cy="914400"/>
          <wp:effectExtent l="0" t="0" r="0" b="0"/>
          <wp:wrapNone/>
          <wp:docPr id="1648956272" name="Picture 1" descr="A colorful borde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95005" name="Picture 1" descr="A colorful border with a white background&#10;&#10;Description automatically generated"/>
                  <pic:cNvPicPr/>
                </pic:nvPicPr>
                <pic:blipFill rotWithShape="1">
                  <a:blip r:embed="rId1">
                    <a:extLst>
                      <a:ext uri="{28A0092B-C50C-407E-A947-70E740481C1C}">
                        <a14:useLocalDpi xmlns:a14="http://schemas.microsoft.com/office/drawing/2010/main" val="0"/>
                      </a:ext>
                    </a:extLst>
                  </a:blip>
                  <a:srcRect b="88149"/>
                  <a:stretch/>
                </pic:blipFill>
                <pic:spPr bwMode="auto">
                  <a:xfrm>
                    <a:off x="0" y="0"/>
                    <a:ext cx="10906045"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41F3" w14:textId="77777777" w:rsidR="001E25CB" w:rsidRDefault="00D84C67" w:rsidP="009F5922">
    <w:pPr>
      <w:pStyle w:val="Header"/>
    </w:pPr>
    <w:r>
      <w:drawing>
        <wp:anchor distT="0" distB="0" distL="114300" distR="114300" simplePos="0" relativeHeight="251673088" behindDoc="1" locked="0" layoutInCell="1" allowOverlap="1" wp14:anchorId="277FE6CB" wp14:editId="70C5B191">
          <wp:simplePos x="0" y="0"/>
          <wp:positionH relativeFrom="column">
            <wp:posOffset>-711298</wp:posOffset>
          </wp:positionH>
          <wp:positionV relativeFrom="page">
            <wp:posOffset>-9121</wp:posOffset>
          </wp:positionV>
          <wp:extent cx="7561385" cy="10687624"/>
          <wp:effectExtent l="0" t="0" r="0" b="0"/>
          <wp:wrapNone/>
          <wp:docPr id="6" name="Picture 6" descr="A colorful line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293822" name="Picture 2" descr="A colorful lines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2795" cy="10703751"/>
                  </a:xfrm>
                  <a:prstGeom prst="rect">
                    <a:avLst/>
                  </a:prstGeom>
                </pic:spPr>
              </pic:pic>
            </a:graphicData>
          </a:graphic>
          <wp14:sizeRelH relativeFrom="margin">
            <wp14:pctWidth>0</wp14:pctWidth>
          </wp14:sizeRelH>
          <wp14:sizeRelV relativeFrom="margin">
            <wp14:pctHeight>0</wp14:pctHeight>
          </wp14:sizeRelV>
        </wp:anchor>
      </w:drawing>
    </w:r>
    <w:r w:rsidR="001E25C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2AD1" w14:textId="77777777" w:rsidR="001E25CB" w:rsidRDefault="001E25CB" w:rsidP="00FC716F">
    <w:r>
      <w:rPr>
        <w:noProof/>
        <w:lang w:val="en-AU"/>
      </w:rPr>
      <w:drawing>
        <wp:anchor distT="0" distB="0" distL="114300" distR="114300" simplePos="0" relativeHeight="251659776" behindDoc="1" locked="0" layoutInCell="1" allowOverlap="1" wp14:anchorId="6B39EDE0" wp14:editId="2867A14A">
          <wp:simplePos x="0" y="0"/>
          <wp:positionH relativeFrom="column">
            <wp:posOffset>-718185</wp:posOffset>
          </wp:positionH>
          <wp:positionV relativeFrom="paragraph">
            <wp:posOffset>-474345</wp:posOffset>
          </wp:positionV>
          <wp:extent cx="7570470" cy="1071308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470" cy="10713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rPr>
      <w:drawing>
        <wp:anchor distT="0" distB="0" distL="114300" distR="114300" simplePos="0" relativeHeight="251658752" behindDoc="0" locked="0" layoutInCell="1" allowOverlap="0" wp14:anchorId="2AA3518D" wp14:editId="567C5481">
          <wp:simplePos x="0" y="0"/>
          <wp:positionH relativeFrom="column">
            <wp:posOffset>882650</wp:posOffset>
          </wp:positionH>
          <wp:positionV relativeFrom="paragraph">
            <wp:posOffset>6762750</wp:posOffset>
          </wp:positionV>
          <wp:extent cx="6673850" cy="45466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73850" cy="4546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63E2178"/>
    <w:lvl w:ilvl="0">
      <w:start w:val="1"/>
      <w:numFmt w:val="decimal"/>
      <w:pStyle w:val="ListNumber"/>
      <w:lvlText w:val="%1."/>
      <w:lvlJc w:val="left"/>
      <w:pPr>
        <w:tabs>
          <w:tab w:val="num" w:pos="360"/>
        </w:tabs>
        <w:ind w:left="360" w:hanging="360"/>
      </w:pPr>
      <w:rPr>
        <w:rFonts w:hint="default"/>
        <w:color w:val="000000" w:themeColor="text1"/>
      </w:rPr>
    </w:lvl>
  </w:abstractNum>
  <w:abstractNum w:abstractNumId="1" w15:restartNumberingAfterBreak="0">
    <w:nsid w:val="FFFFFF89"/>
    <w:multiLevelType w:val="singleLevel"/>
    <w:tmpl w:val="5748C810"/>
    <w:lvl w:ilvl="0">
      <w:start w:val="1"/>
      <w:numFmt w:val="bullet"/>
      <w:pStyle w:val="ListBullet"/>
      <w:lvlText w:val=""/>
      <w:lvlJc w:val="left"/>
      <w:pPr>
        <w:tabs>
          <w:tab w:val="num" w:pos="360"/>
        </w:tabs>
        <w:ind w:left="360" w:hanging="360"/>
      </w:pPr>
      <w:rPr>
        <w:rFonts w:ascii="Symbol" w:hAnsi="Symbol" w:hint="default"/>
        <w:color w:val="000000" w:themeColor="text1"/>
      </w:rPr>
    </w:lvl>
  </w:abstractNum>
  <w:abstractNum w:abstractNumId="2" w15:restartNumberingAfterBreak="0">
    <w:nsid w:val="018216D8"/>
    <w:multiLevelType w:val="hybridMultilevel"/>
    <w:tmpl w:val="009CAC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605B99"/>
    <w:multiLevelType w:val="hybridMultilevel"/>
    <w:tmpl w:val="94063DA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50065BA"/>
    <w:multiLevelType w:val="multilevel"/>
    <w:tmpl w:val="6A5CDC9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FB80ACB"/>
    <w:multiLevelType w:val="hybridMultilevel"/>
    <w:tmpl w:val="595ECE6E"/>
    <w:lvl w:ilvl="0" w:tplc="10B8B20E">
      <w:start w:val="1"/>
      <w:numFmt w:val="bullet"/>
      <w:lvlText w:val=""/>
      <w:lvlJc w:val="left"/>
      <w:pPr>
        <w:ind w:left="360" w:hanging="360"/>
      </w:pPr>
      <w:rPr>
        <w:rFonts w:ascii="Wingdings" w:hAnsi="Wingdings"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D43A4C"/>
    <w:multiLevelType w:val="hybridMultilevel"/>
    <w:tmpl w:val="811EFEF8"/>
    <w:lvl w:ilvl="0" w:tplc="FFFFFFFF">
      <w:start w:val="1"/>
      <w:numFmt w:val="decimal"/>
      <w:lvlText w:val="%1."/>
      <w:lvlJc w:val="left"/>
      <w:pPr>
        <w:ind w:left="360" w:hanging="360"/>
      </w:pPr>
      <w:rPr>
        <w:rFonts w:hint="default"/>
        <w:b/>
        <w:color w:val="auto"/>
      </w:rPr>
    </w:lvl>
    <w:lvl w:ilvl="1" w:tplc="0C090001">
      <w:start w:val="1"/>
      <w:numFmt w:val="bullet"/>
      <w:lvlText w:val=""/>
      <w:lvlJc w:val="left"/>
      <w:pPr>
        <w:ind w:left="7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3D97317"/>
    <w:multiLevelType w:val="hybridMultilevel"/>
    <w:tmpl w:val="1D56BBB2"/>
    <w:lvl w:ilvl="0" w:tplc="148A5568">
      <w:start w:val="1"/>
      <w:numFmt w:val="bullet"/>
      <w:lvlText w:val=""/>
      <w:lvlJc w:val="left"/>
      <w:pPr>
        <w:ind w:left="1440" w:hanging="360"/>
      </w:pPr>
      <w:rPr>
        <w:rFonts w:ascii="Symbol" w:hAnsi="Symbol" w:hint="default"/>
        <w:color w:val="auto"/>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0347175"/>
    <w:multiLevelType w:val="hybridMultilevel"/>
    <w:tmpl w:val="C96E1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D05207"/>
    <w:multiLevelType w:val="hybridMultilevel"/>
    <w:tmpl w:val="57DE3C86"/>
    <w:lvl w:ilvl="0" w:tplc="2EBE8856">
      <w:start w:val="1"/>
      <w:numFmt w:val="bullet"/>
      <w:pStyle w:val="ListBullet2"/>
      <w:lvlText w:val="-"/>
      <w:lvlJc w:val="left"/>
      <w:pPr>
        <w:ind w:left="717" w:hanging="360"/>
      </w:pPr>
      <w:rPr>
        <w:rFonts w:ascii="Courier New" w:hAnsi="Courier New" w:hint="default"/>
        <w:color w:val="7F7F7F" w:themeColor="text1" w:themeTint="80"/>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0" w15:restartNumberingAfterBreak="0">
    <w:nsid w:val="545F78F8"/>
    <w:multiLevelType w:val="multilevel"/>
    <w:tmpl w:val="6504C148"/>
    <w:styleLink w:val="Headings"/>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2.%3.1"/>
      <w:lvlJc w:val="left"/>
      <w:pPr>
        <w:ind w:left="454" w:hanging="454"/>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1" w15:restartNumberingAfterBreak="0">
    <w:nsid w:val="58AE4415"/>
    <w:multiLevelType w:val="hybridMultilevel"/>
    <w:tmpl w:val="318AC75A"/>
    <w:lvl w:ilvl="0" w:tplc="0C090005">
      <w:start w:val="1"/>
      <w:numFmt w:val="bullet"/>
      <w:lvlText w:val=""/>
      <w:lvlJc w:val="left"/>
      <w:pPr>
        <w:tabs>
          <w:tab w:val="num" w:pos="540"/>
        </w:tabs>
        <w:ind w:left="540" w:hanging="360"/>
      </w:pPr>
      <w:rPr>
        <w:rFonts w:ascii="Wingdings" w:hAnsi="Wingdings" w:hint="default"/>
      </w:rPr>
    </w:lvl>
    <w:lvl w:ilvl="1" w:tplc="0C090001">
      <w:start w:val="1"/>
      <w:numFmt w:val="bullet"/>
      <w:lvlText w:val=""/>
      <w:lvlJc w:val="left"/>
      <w:pPr>
        <w:tabs>
          <w:tab w:val="num" w:pos="1260"/>
        </w:tabs>
        <w:ind w:left="1260" w:hanging="360"/>
      </w:pPr>
      <w:rPr>
        <w:rFonts w:ascii="Symbol" w:hAnsi="Symbol" w:hint="default"/>
      </w:rPr>
    </w:lvl>
    <w:lvl w:ilvl="2" w:tplc="0C090003">
      <w:start w:val="1"/>
      <w:numFmt w:val="bullet"/>
      <w:lvlText w:val="o"/>
      <w:lvlJc w:val="left"/>
      <w:pPr>
        <w:tabs>
          <w:tab w:val="num" w:pos="1980"/>
        </w:tabs>
        <w:ind w:left="1980" w:hanging="360"/>
      </w:pPr>
      <w:rPr>
        <w:rFonts w:ascii="Courier New" w:hAnsi="Courier New" w:cs="Courier New" w:hint="default"/>
      </w:rPr>
    </w:lvl>
    <w:lvl w:ilvl="3" w:tplc="5D08792E">
      <w:start w:val="1"/>
      <w:numFmt w:val="bullet"/>
      <w:pStyle w:val="secondarybullet"/>
      <w:lvlText w:val="-"/>
      <w:lvlJc w:val="left"/>
      <w:pPr>
        <w:tabs>
          <w:tab w:val="num" w:pos="2700"/>
        </w:tabs>
        <w:ind w:left="2700" w:hanging="360"/>
      </w:pPr>
      <w:rPr>
        <w:rFonts w:ascii="Courier New" w:hAnsi="Courier New" w:cs="Times New Roman" w:hint="default"/>
        <w:color w:val="auto"/>
      </w:rPr>
    </w:lvl>
    <w:lvl w:ilvl="4" w:tplc="0C090003">
      <w:start w:val="1"/>
      <w:numFmt w:val="bullet"/>
      <w:lvlText w:val="o"/>
      <w:lvlJc w:val="left"/>
      <w:pPr>
        <w:tabs>
          <w:tab w:val="num" w:pos="3420"/>
        </w:tabs>
        <w:ind w:left="3420" w:hanging="360"/>
      </w:pPr>
      <w:rPr>
        <w:rFonts w:ascii="Courier New" w:hAnsi="Courier New" w:cs="Courier New" w:hint="default"/>
      </w:rPr>
    </w:lvl>
    <w:lvl w:ilvl="5" w:tplc="0C090005">
      <w:start w:val="1"/>
      <w:numFmt w:val="bullet"/>
      <w:lvlText w:val=""/>
      <w:lvlJc w:val="left"/>
      <w:pPr>
        <w:tabs>
          <w:tab w:val="num" w:pos="4140"/>
        </w:tabs>
        <w:ind w:left="4140" w:hanging="360"/>
      </w:pPr>
      <w:rPr>
        <w:rFonts w:ascii="Wingdings" w:hAnsi="Wingdings" w:hint="default"/>
      </w:rPr>
    </w:lvl>
    <w:lvl w:ilvl="6" w:tplc="0C090001">
      <w:start w:val="1"/>
      <w:numFmt w:val="bullet"/>
      <w:lvlText w:val=""/>
      <w:lvlJc w:val="left"/>
      <w:pPr>
        <w:tabs>
          <w:tab w:val="num" w:pos="4860"/>
        </w:tabs>
        <w:ind w:left="4860" w:hanging="360"/>
      </w:pPr>
      <w:rPr>
        <w:rFonts w:ascii="Symbol" w:hAnsi="Symbol" w:hint="default"/>
      </w:rPr>
    </w:lvl>
    <w:lvl w:ilvl="7" w:tplc="0C090003">
      <w:start w:val="1"/>
      <w:numFmt w:val="bullet"/>
      <w:lvlText w:val="o"/>
      <w:lvlJc w:val="left"/>
      <w:pPr>
        <w:tabs>
          <w:tab w:val="num" w:pos="5580"/>
        </w:tabs>
        <w:ind w:left="5580" w:hanging="360"/>
      </w:pPr>
      <w:rPr>
        <w:rFonts w:ascii="Courier New" w:hAnsi="Courier New" w:cs="Courier New" w:hint="default"/>
      </w:rPr>
    </w:lvl>
    <w:lvl w:ilvl="8" w:tplc="0C090005">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604345BB"/>
    <w:multiLevelType w:val="hybridMultilevel"/>
    <w:tmpl w:val="388804EA"/>
    <w:lvl w:ilvl="0" w:tplc="A888DE54">
      <w:start w:val="1"/>
      <w:numFmt w:val="bullet"/>
      <w:pStyle w:val="Tablebullet"/>
      <w:lvlText w:val=""/>
      <w:lvlJc w:val="left"/>
      <w:pPr>
        <w:ind w:left="502"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C81738"/>
    <w:multiLevelType w:val="hybridMultilevel"/>
    <w:tmpl w:val="EDC2E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271397"/>
    <w:multiLevelType w:val="hybridMultilevel"/>
    <w:tmpl w:val="77B4A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0F0B07"/>
    <w:multiLevelType w:val="hybridMultilevel"/>
    <w:tmpl w:val="6EF06C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7A243DF"/>
    <w:multiLevelType w:val="hybridMultilevel"/>
    <w:tmpl w:val="A84C0340"/>
    <w:lvl w:ilvl="0" w:tplc="F2F8A8B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5136E0"/>
    <w:multiLevelType w:val="hybridMultilevel"/>
    <w:tmpl w:val="DC9832CA"/>
    <w:lvl w:ilvl="0" w:tplc="10B8B20E">
      <w:start w:val="1"/>
      <w:numFmt w:val="bullet"/>
      <w:lvlText w:val=""/>
      <w:lvlJc w:val="left"/>
      <w:pPr>
        <w:ind w:left="360" w:hanging="360"/>
      </w:pPr>
      <w:rPr>
        <w:rFonts w:ascii="Wingdings" w:hAnsi="Wingdings"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7522C2"/>
    <w:multiLevelType w:val="multilevel"/>
    <w:tmpl w:val="9CAA8CAE"/>
    <w:styleLink w:val="CurrentList1"/>
    <w:lvl w:ilvl="0">
      <w:start w:val="1"/>
      <w:numFmt w:val="bullet"/>
      <w:lvlText w:val=""/>
      <w:lvlJc w:val="left"/>
      <w:pPr>
        <w:ind w:left="720" w:hanging="360"/>
      </w:pPr>
      <w:rPr>
        <w:rFonts w:ascii="Symbol" w:hAnsi="Symbol" w:hint="default"/>
        <w:color w:val="7F7F7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31524884">
    <w:abstractNumId w:val="1"/>
  </w:num>
  <w:num w:numId="2" w16cid:durableId="1032267222">
    <w:abstractNumId w:val="0"/>
  </w:num>
  <w:num w:numId="3" w16cid:durableId="126434535">
    <w:abstractNumId w:val="1"/>
  </w:num>
  <w:num w:numId="4" w16cid:durableId="465591141">
    <w:abstractNumId w:val="9"/>
  </w:num>
  <w:num w:numId="5" w16cid:durableId="191915865">
    <w:abstractNumId w:val="12"/>
  </w:num>
  <w:num w:numId="6" w16cid:durableId="1219366353">
    <w:abstractNumId w:val="10"/>
  </w:num>
  <w:num w:numId="7" w16cid:durableId="1719477225">
    <w:abstractNumId w:val="11"/>
  </w:num>
  <w:num w:numId="8" w16cid:durableId="2013799803">
    <w:abstractNumId w:val="4"/>
  </w:num>
  <w:num w:numId="9" w16cid:durableId="668414048">
    <w:abstractNumId w:val="18"/>
  </w:num>
  <w:num w:numId="10" w16cid:durableId="986785450">
    <w:abstractNumId w:val="8"/>
  </w:num>
  <w:num w:numId="11" w16cid:durableId="229662166">
    <w:abstractNumId w:val="3"/>
  </w:num>
  <w:num w:numId="12" w16cid:durableId="1748308632">
    <w:abstractNumId w:val="15"/>
  </w:num>
  <w:num w:numId="13" w16cid:durableId="333916833">
    <w:abstractNumId w:val="6"/>
  </w:num>
  <w:num w:numId="14" w16cid:durableId="2146577385">
    <w:abstractNumId w:val="7"/>
  </w:num>
  <w:num w:numId="15" w16cid:durableId="1427313872">
    <w:abstractNumId w:val="16"/>
  </w:num>
  <w:num w:numId="16" w16cid:durableId="1825075433">
    <w:abstractNumId w:val="13"/>
  </w:num>
  <w:num w:numId="17" w16cid:durableId="1099133451">
    <w:abstractNumId w:val="2"/>
  </w:num>
  <w:num w:numId="18" w16cid:durableId="275019144">
    <w:abstractNumId w:val="14"/>
  </w:num>
  <w:num w:numId="19" w16cid:durableId="1152063446">
    <w:abstractNumId w:val="5"/>
  </w:num>
  <w:num w:numId="20" w16cid:durableId="289170558">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autoFormatOverride/>
  <w:defaultTabStop w:val="720"/>
  <w:characterSpacingControl w:val="doNotCompress"/>
  <w:hdrShapeDefaults>
    <o:shapedefaults v:ext="edit" spidmax="2050" style="mso-position-vertical-relative:page;mso-width-relative:margin;mso-height-relative:margin;v-text-anchor:bottom" fill="f" fillcolor="white" stroke="f">
      <v:fill color="white" on="f"/>
      <v:stroke weight=".5pt" on="f"/>
      <v:textbox inset="0,0,0,0"/>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A82"/>
    <w:rsid w:val="00001ED6"/>
    <w:rsid w:val="00022416"/>
    <w:rsid w:val="00040AD7"/>
    <w:rsid w:val="0004738B"/>
    <w:rsid w:val="00047D09"/>
    <w:rsid w:val="0006282E"/>
    <w:rsid w:val="00066211"/>
    <w:rsid w:val="00066580"/>
    <w:rsid w:val="00067B5A"/>
    <w:rsid w:val="00084A20"/>
    <w:rsid w:val="000A69DF"/>
    <w:rsid w:val="000B302A"/>
    <w:rsid w:val="000B4864"/>
    <w:rsid w:val="000C2EC8"/>
    <w:rsid w:val="000C602E"/>
    <w:rsid w:val="000D2181"/>
    <w:rsid w:val="000D3540"/>
    <w:rsid w:val="000D5846"/>
    <w:rsid w:val="000D6976"/>
    <w:rsid w:val="000E2B45"/>
    <w:rsid w:val="000E7A52"/>
    <w:rsid w:val="00100A82"/>
    <w:rsid w:val="0010244F"/>
    <w:rsid w:val="001051A6"/>
    <w:rsid w:val="00110CC5"/>
    <w:rsid w:val="00113D9D"/>
    <w:rsid w:val="00117CEB"/>
    <w:rsid w:val="00120009"/>
    <w:rsid w:val="00130623"/>
    <w:rsid w:val="001553D6"/>
    <w:rsid w:val="00162D6D"/>
    <w:rsid w:val="00175D36"/>
    <w:rsid w:val="001813BD"/>
    <w:rsid w:val="00181AF7"/>
    <w:rsid w:val="001851C0"/>
    <w:rsid w:val="00185C5B"/>
    <w:rsid w:val="00190CF2"/>
    <w:rsid w:val="001A3780"/>
    <w:rsid w:val="001A4D61"/>
    <w:rsid w:val="001A5B3C"/>
    <w:rsid w:val="001B24A9"/>
    <w:rsid w:val="001C18B0"/>
    <w:rsid w:val="001C31C5"/>
    <w:rsid w:val="001D0EA9"/>
    <w:rsid w:val="001D1E3D"/>
    <w:rsid w:val="001D6131"/>
    <w:rsid w:val="001D798A"/>
    <w:rsid w:val="001E18A2"/>
    <w:rsid w:val="001E25CB"/>
    <w:rsid w:val="001E7769"/>
    <w:rsid w:val="001E7EF6"/>
    <w:rsid w:val="001F2233"/>
    <w:rsid w:val="001F6460"/>
    <w:rsid w:val="001F6479"/>
    <w:rsid w:val="001F7DF0"/>
    <w:rsid w:val="00202F5C"/>
    <w:rsid w:val="00204748"/>
    <w:rsid w:val="00213AC7"/>
    <w:rsid w:val="002205FA"/>
    <w:rsid w:val="00220AC5"/>
    <w:rsid w:val="00225D89"/>
    <w:rsid w:val="002329F9"/>
    <w:rsid w:val="00235F61"/>
    <w:rsid w:val="00237A4E"/>
    <w:rsid w:val="00237CC2"/>
    <w:rsid w:val="00241016"/>
    <w:rsid w:val="002459AA"/>
    <w:rsid w:val="00245E71"/>
    <w:rsid w:val="00265836"/>
    <w:rsid w:val="00273A55"/>
    <w:rsid w:val="00280513"/>
    <w:rsid w:val="002839B8"/>
    <w:rsid w:val="002A3D49"/>
    <w:rsid w:val="002A55FB"/>
    <w:rsid w:val="002A6C0E"/>
    <w:rsid w:val="002B1D65"/>
    <w:rsid w:val="002B29E2"/>
    <w:rsid w:val="002B3548"/>
    <w:rsid w:val="002B46FC"/>
    <w:rsid w:val="002C0A88"/>
    <w:rsid w:val="002C127D"/>
    <w:rsid w:val="002C46AA"/>
    <w:rsid w:val="002C6206"/>
    <w:rsid w:val="002E0EBD"/>
    <w:rsid w:val="002F090A"/>
    <w:rsid w:val="002F4B24"/>
    <w:rsid w:val="00306355"/>
    <w:rsid w:val="0030783B"/>
    <w:rsid w:val="00315D22"/>
    <w:rsid w:val="00321914"/>
    <w:rsid w:val="00321C8F"/>
    <w:rsid w:val="00321D02"/>
    <w:rsid w:val="0032228A"/>
    <w:rsid w:val="00322AD2"/>
    <w:rsid w:val="00327A32"/>
    <w:rsid w:val="00332C2F"/>
    <w:rsid w:val="00335749"/>
    <w:rsid w:val="00335B04"/>
    <w:rsid w:val="00337B7B"/>
    <w:rsid w:val="00340030"/>
    <w:rsid w:val="003459B4"/>
    <w:rsid w:val="00347BEC"/>
    <w:rsid w:val="00362870"/>
    <w:rsid w:val="003654C8"/>
    <w:rsid w:val="00365CD7"/>
    <w:rsid w:val="003706E0"/>
    <w:rsid w:val="003739A2"/>
    <w:rsid w:val="0039184E"/>
    <w:rsid w:val="00397E6E"/>
    <w:rsid w:val="003A0A7D"/>
    <w:rsid w:val="003B09F2"/>
    <w:rsid w:val="003B269D"/>
    <w:rsid w:val="003C5731"/>
    <w:rsid w:val="003D60D7"/>
    <w:rsid w:val="003D67DB"/>
    <w:rsid w:val="003D745C"/>
    <w:rsid w:val="003F3AAF"/>
    <w:rsid w:val="003F6630"/>
    <w:rsid w:val="004009F9"/>
    <w:rsid w:val="00401833"/>
    <w:rsid w:val="00406638"/>
    <w:rsid w:val="004108F7"/>
    <w:rsid w:val="0041323A"/>
    <w:rsid w:val="004171BA"/>
    <w:rsid w:val="00425B34"/>
    <w:rsid w:val="00426A7B"/>
    <w:rsid w:val="0042748D"/>
    <w:rsid w:val="0042766D"/>
    <w:rsid w:val="00427C5B"/>
    <w:rsid w:val="00435CDA"/>
    <w:rsid w:val="004361C0"/>
    <w:rsid w:val="00453BEB"/>
    <w:rsid w:val="004754AF"/>
    <w:rsid w:val="00475903"/>
    <w:rsid w:val="00475AF3"/>
    <w:rsid w:val="00486E75"/>
    <w:rsid w:val="00491D27"/>
    <w:rsid w:val="0049723E"/>
    <w:rsid w:val="004A0B6A"/>
    <w:rsid w:val="004A4657"/>
    <w:rsid w:val="004A7443"/>
    <w:rsid w:val="004B2698"/>
    <w:rsid w:val="004B5CAC"/>
    <w:rsid w:val="004B5DCD"/>
    <w:rsid w:val="004C4162"/>
    <w:rsid w:val="004C63B8"/>
    <w:rsid w:val="004D0057"/>
    <w:rsid w:val="004D15A6"/>
    <w:rsid w:val="004D5E61"/>
    <w:rsid w:val="004E6487"/>
    <w:rsid w:val="004F130E"/>
    <w:rsid w:val="004F4B81"/>
    <w:rsid w:val="005019C4"/>
    <w:rsid w:val="00501E5F"/>
    <w:rsid w:val="00502E04"/>
    <w:rsid w:val="0051291D"/>
    <w:rsid w:val="005140B2"/>
    <w:rsid w:val="00514176"/>
    <w:rsid w:val="005161E1"/>
    <w:rsid w:val="005165FF"/>
    <w:rsid w:val="00523CE7"/>
    <w:rsid w:val="0053244D"/>
    <w:rsid w:val="00532994"/>
    <w:rsid w:val="0053654A"/>
    <w:rsid w:val="0054138F"/>
    <w:rsid w:val="005423DF"/>
    <w:rsid w:val="00551D0E"/>
    <w:rsid w:val="00553117"/>
    <w:rsid w:val="005612B6"/>
    <w:rsid w:val="005636AA"/>
    <w:rsid w:val="00563A99"/>
    <w:rsid w:val="00570072"/>
    <w:rsid w:val="0057593D"/>
    <w:rsid w:val="0058531C"/>
    <w:rsid w:val="00587212"/>
    <w:rsid w:val="00596687"/>
    <w:rsid w:val="00597F61"/>
    <w:rsid w:val="005A0050"/>
    <w:rsid w:val="005A2429"/>
    <w:rsid w:val="005A5F96"/>
    <w:rsid w:val="005B091D"/>
    <w:rsid w:val="005B0DD2"/>
    <w:rsid w:val="005C1ECF"/>
    <w:rsid w:val="005C36D6"/>
    <w:rsid w:val="005D52EA"/>
    <w:rsid w:val="005E3113"/>
    <w:rsid w:val="005F1C0C"/>
    <w:rsid w:val="005F6369"/>
    <w:rsid w:val="0060703C"/>
    <w:rsid w:val="00614B3C"/>
    <w:rsid w:val="0062765B"/>
    <w:rsid w:val="006313C7"/>
    <w:rsid w:val="00631BF8"/>
    <w:rsid w:val="006414BE"/>
    <w:rsid w:val="00641587"/>
    <w:rsid w:val="00641DA6"/>
    <w:rsid w:val="00643FCF"/>
    <w:rsid w:val="00654B7B"/>
    <w:rsid w:val="00660D63"/>
    <w:rsid w:val="00670083"/>
    <w:rsid w:val="00673CB2"/>
    <w:rsid w:val="0067588E"/>
    <w:rsid w:val="00675FDA"/>
    <w:rsid w:val="00680486"/>
    <w:rsid w:val="00686B04"/>
    <w:rsid w:val="006902E5"/>
    <w:rsid w:val="00690593"/>
    <w:rsid w:val="00691DAC"/>
    <w:rsid w:val="0069230E"/>
    <w:rsid w:val="00694B23"/>
    <w:rsid w:val="00697B81"/>
    <w:rsid w:val="006A2C28"/>
    <w:rsid w:val="006A4184"/>
    <w:rsid w:val="006A6474"/>
    <w:rsid w:val="006B257D"/>
    <w:rsid w:val="006C528A"/>
    <w:rsid w:val="006C5501"/>
    <w:rsid w:val="006D6BB6"/>
    <w:rsid w:val="006E1786"/>
    <w:rsid w:val="006E6C83"/>
    <w:rsid w:val="007017B1"/>
    <w:rsid w:val="00711BCE"/>
    <w:rsid w:val="007221A9"/>
    <w:rsid w:val="00726E10"/>
    <w:rsid w:val="00733EF3"/>
    <w:rsid w:val="00736EE1"/>
    <w:rsid w:val="00742149"/>
    <w:rsid w:val="0075083A"/>
    <w:rsid w:val="00757FAE"/>
    <w:rsid w:val="00760FE2"/>
    <w:rsid w:val="00770E25"/>
    <w:rsid w:val="00781B2E"/>
    <w:rsid w:val="00782254"/>
    <w:rsid w:val="007917D6"/>
    <w:rsid w:val="007921B7"/>
    <w:rsid w:val="007936B4"/>
    <w:rsid w:val="0079546A"/>
    <w:rsid w:val="007A71FD"/>
    <w:rsid w:val="007B5840"/>
    <w:rsid w:val="007C7502"/>
    <w:rsid w:val="007D20E4"/>
    <w:rsid w:val="007D55DE"/>
    <w:rsid w:val="007D7152"/>
    <w:rsid w:val="007D7C76"/>
    <w:rsid w:val="007E051C"/>
    <w:rsid w:val="007E2187"/>
    <w:rsid w:val="007E307C"/>
    <w:rsid w:val="007E69F9"/>
    <w:rsid w:val="007F0268"/>
    <w:rsid w:val="007F4AB9"/>
    <w:rsid w:val="007F7F33"/>
    <w:rsid w:val="008011AE"/>
    <w:rsid w:val="00802176"/>
    <w:rsid w:val="00802AC5"/>
    <w:rsid w:val="008042A8"/>
    <w:rsid w:val="00807287"/>
    <w:rsid w:val="008113E0"/>
    <w:rsid w:val="00814EBE"/>
    <w:rsid w:val="0082681D"/>
    <w:rsid w:val="00831D4A"/>
    <w:rsid w:val="00843783"/>
    <w:rsid w:val="008454AA"/>
    <w:rsid w:val="00850F19"/>
    <w:rsid w:val="00853F7E"/>
    <w:rsid w:val="00854A5E"/>
    <w:rsid w:val="00856198"/>
    <w:rsid w:val="00863167"/>
    <w:rsid w:val="00864985"/>
    <w:rsid w:val="00865087"/>
    <w:rsid w:val="00865CC7"/>
    <w:rsid w:val="00872982"/>
    <w:rsid w:val="00875411"/>
    <w:rsid w:val="00876DC4"/>
    <w:rsid w:val="00883B4E"/>
    <w:rsid w:val="00884027"/>
    <w:rsid w:val="00890180"/>
    <w:rsid w:val="0089100B"/>
    <w:rsid w:val="008971C9"/>
    <w:rsid w:val="00897AED"/>
    <w:rsid w:val="008A10C1"/>
    <w:rsid w:val="008B0179"/>
    <w:rsid w:val="008B1E44"/>
    <w:rsid w:val="008C396D"/>
    <w:rsid w:val="008C3EFB"/>
    <w:rsid w:val="008D4AC9"/>
    <w:rsid w:val="008E35B6"/>
    <w:rsid w:val="008F0CAA"/>
    <w:rsid w:val="008F1E03"/>
    <w:rsid w:val="008F6D89"/>
    <w:rsid w:val="008F7B47"/>
    <w:rsid w:val="00902B6B"/>
    <w:rsid w:val="00910DE1"/>
    <w:rsid w:val="00915F39"/>
    <w:rsid w:val="00917166"/>
    <w:rsid w:val="009227CF"/>
    <w:rsid w:val="00924D04"/>
    <w:rsid w:val="00936E82"/>
    <w:rsid w:val="009426AB"/>
    <w:rsid w:val="00944FD1"/>
    <w:rsid w:val="009506FC"/>
    <w:rsid w:val="0095525B"/>
    <w:rsid w:val="0095743E"/>
    <w:rsid w:val="009671F8"/>
    <w:rsid w:val="00967A9C"/>
    <w:rsid w:val="009712CC"/>
    <w:rsid w:val="00972893"/>
    <w:rsid w:val="00976875"/>
    <w:rsid w:val="00981B55"/>
    <w:rsid w:val="00982B27"/>
    <w:rsid w:val="00983430"/>
    <w:rsid w:val="009842DF"/>
    <w:rsid w:val="00990166"/>
    <w:rsid w:val="009921FD"/>
    <w:rsid w:val="009923F8"/>
    <w:rsid w:val="009A76C8"/>
    <w:rsid w:val="009D65E5"/>
    <w:rsid w:val="009E2096"/>
    <w:rsid w:val="009E6694"/>
    <w:rsid w:val="009F1059"/>
    <w:rsid w:val="009F5922"/>
    <w:rsid w:val="00A07DA9"/>
    <w:rsid w:val="00A11930"/>
    <w:rsid w:val="00A12E45"/>
    <w:rsid w:val="00A31E67"/>
    <w:rsid w:val="00A320B9"/>
    <w:rsid w:val="00A37C30"/>
    <w:rsid w:val="00A42436"/>
    <w:rsid w:val="00A42ABD"/>
    <w:rsid w:val="00A42EAB"/>
    <w:rsid w:val="00A50FC7"/>
    <w:rsid w:val="00A52CE5"/>
    <w:rsid w:val="00A53324"/>
    <w:rsid w:val="00A561CE"/>
    <w:rsid w:val="00A57D22"/>
    <w:rsid w:val="00A705BE"/>
    <w:rsid w:val="00A73216"/>
    <w:rsid w:val="00A73E2B"/>
    <w:rsid w:val="00A82F4D"/>
    <w:rsid w:val="00A85C4A"/>
    <w:rsid w:val="00A90A68"/>
    <w:rsid w:val="00AB3344"/>
    <w:rsid w:val="00AB40EE"/>
    <w:rsid w:val="00AB5674"/>
    <w:rsid w:val="00AC10CE"/>
    <w:rsid w:val="00AC26AE"/>
    <w:rsid w:val="00AC4388"/>
    <w:rsid w:val="00AC7596"/>
    <w:rsid w:val="00AC7D3E"/>
    <w:rsid w:val="00AD0B89"/>
    <w:rsid w:val="00AD735E"/>
    <w:rsid w:val="00AF756D"/>
    <w:rsid w:val="00B04E62"/>
    <w:rsid w:val="00B06028"/>
    <w:rsid w:val="00B13618"/>
    <w:rsid w:val="00B2281B"/>
    <w:rsid w:val="00B30353"/>
    <w:rsid w:val="00B35B32"/>
    <w:rsid w:val="00B5310D"/>
    <w:rsid w:val="00B62571"/>
    <w:rsid w:val="00B71E37"/>
    <w:rsid w:val="00B75D0E"/>
    <w:rsid w:val="00B76D1E"/>
    <w:rsid w:val="00B85385"/>
    <w:rsid w:val="00B91E05"/>
    <w:rsid w:val="00BA34D3"/>
    <w:rsid w:val="00BB171C"/>
    <w:rsid w:val="00BC63A9"/>
    <w:rsid w:val="00BF0202"/>
    <w:rsid w:val="00BF3FDB"/>
    <w:rsid w:val="00C0188F"/>
    <w:rsid w:val="00C03563"/>
    <w:rsid w:val="00C04578"/>
    <w:rsid w:val="00C06C34"/>
    <w:rsid w:val="00C13BCA"/>
    <w:rsid w:val="00C20D54"/>
    <w:rsid w:val="00C23151"/>
    <w:rsid w:val="00C25981"/>
    <w:rsid w:val="00C350E3"/>
    <w:rsid w:val="00C364C5"/>
    <w:rsid w:val="00C601BE"/>
    <w:rsid w:val="00C66FF7"/>
    <w:rsid w:val="00C70272"/>
    <w:rsid w:val="00C77E23"/>
    <w:rsid w:val="00C81413"/>
    <w:rsid w:val="00C87689"/>
    <w:rsid w:val="00C91015"/>
    <w:rsid w:val="00CA0D06"/>
    <w:rsid w:val="00CA0E2B"/>
    <w:rsid w:val="00CA6958"/>
    <w:rsid w:val="00CB2D36"/>
    <w:rsid w:val="00CB674C"/>
    <w:rsid w:val="00CC0661"/>
    <w:rsid w:val="00CC20F9"/>
    <w:rsid w:val="00CC6F98"/>
    <w:rsid w:val="00CD6BCB"/>
    <w:rsid w:val="00CE7DC0"/>
    <w:rsid w:val="00D05FBE"/>
    <w:rsid w:val="00D06A75"/>
    <w:rsid w:val="00D1494B"/>
    <w:rsid w:val="00D23298"/>
    <w:rsid w:val="00D241B4"/>
    <w:rsid w:val="00D33705"/>
    <w:rsid w:val="00D42B4E"/>
    <w:rsid w:val="00D43F19"/>
    <w:rsid w:val="00D44C2A"/>
    <w:rsid w:val="00D56364"/>
    <w:rsid w:val="00D576F3"/>
    <w:rsid w:val="00D61BC2"/>
    <w:rsid w:val="00D628F7"/>
    <w:rsid w:val="00D713A4"/>
    <w:rsid w:val="00D76B34"/>
    <w:rsid w:val="00D76E54"/>
    <w:rsid w:val="00D81C28"/>
    <w:rsid w:val="00D84C67"/>
    <w:rsid w:val="00D85BC2"/>
    <w:rsid w:val="00D93690"/>
    <w:rsid w:val="00D93FD8"/>
    <w:rsid w:val="00DB04F5"/>
    <w:rsid w:val="00DB66C3"/>
    <w:rsid w:val="00DD10FA"/>
    <w:rsid w:val="00DD719A"/>
    <w:rsid w:val="00DE19FE"/>
    <w:rsid w:val="00DF4EA5"/>
    <w:rsid w:val="00E01374"/>
    <w:rsid w:val="00E03BC0"/>
    <w:rsid w:val="00E03EC0"/>
    <w:rsid w:val="00E04770"/>
    <w:rsid w:val="00E11B08"/>
    <w:rsid w:val="00E13751"/>
    <w:rsid w:val="00E1387B"/>
    <w:rsid w:val="00E14C16"/>
    <w:rsid w:val="00E26549"/>
    <w:rsid w:val="00E32AAD"/>
    <w:rsid w:val="00E46F33"/>
    <w:rsid w:val="00E5127B"/>
    <w:rsid w:val="00E566F3"/>
    <w:rsid w:val="00E56CC0"/>
    <w:rsid w:val="00E70BB5"/>
    <w:rsid w:val="00E80C74"/>
    <w:rsid w:val="00E822E8"/>
    <w:rsid w:val="00E96EDD"/>
    <w:rsid w:val="00EC3319"/>
    <w:rsid w:val="00ED0BA0"/>
    <w:rsid w:val="00ED1AAF"/>
    <w:rsid w:val="00EE3D98"/>
    <w:rsid w:val="00EE4E65"/>
    <w:rsid w:val="00EF1595"/>
    <w:rsid w:val="00EF3499"/>
    <w:rsid w:val="00F03548"/>
    <w:rsid w:val="00F22B91"/>
    <w:rsid w:val="00F22C35"/>
    <w:rsid w:val="00F23BE1"/>
    <w:rsid w:val="00F23F34"/>
    <w:rsid w:val="00F27225"/>
    <w:rsid w:val="00F300A0"/>
    <w:rsid w:val="00F40905"/>
    <w:rsid w:val="00F621B1"/>
    <w:rsid w:val="00F62EF1"/>
    <w:rsid w:val="00F73CC5"/>
    <w:rsid w:val="00F76DD4"/>
    <w:rsid w:val="00F80474"/>
    <w:rsid w:val="00F82270"/>
    <w:rsid w:val="00F825EF"/>
    <w:rsid w:val="00F83335"/>
    <w:rsid w:val="00F91575"/>
    <w:rsid w:val="00F973F6"/>
    <w:rsid w:val="00FA04D2"/>
    <w:rsid w:val="00FA08B9"/>
    <w:rsid w:val="00FB717E"/>
    <w:rsid w:val="00FC0039"/>
    <w:rsid w:val="00FC716F"/>
    <w:rsid w:val="00FE429B"/>
    <w:rsid w:val="00FE61DF"/>
    <w:rsid w:val="00FF3278"/>
    <w:rsid w:val="00FF38D7"/>
    <w:rsid w:val="00FF54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page;mso-width-relative:margin;mso-height-relative:margin;v-text-anchor:bottom" fill="f" fillcolor="white" stroke="f">
      <v:fill color="white" on="f"/>
      <v:stroke weight=".5pt" on="f"/>
      <v:textbox inset="0,0,0,0"/>
    </o:shapedefaults>
    <o:shapelayout v:ext="edit">
      <o:idmap v:ext="edit" data="2"/>
    </o:shapelayout>
  </w:shapeDefaults>
  <w:decimalSymbol w:val="."/>
  <w:listSeparator w:val=","/>
  <w14:docId w14:val="674659C9"/>
  <w15:docId w15:val="{DD7DCE11-813D-44F9-B37E-5EAA596B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iPriority="0" w:unhideWhenUsed="1"/>
    <w:lsdException w:name="footer" w:locked="0"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0" w:unhideWhenUsed="1"/>
    <w:lsdException w:name="List Number" w:locked="0"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locked="0"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A76C8"/>
    <w:pPr>
      <w:spacing w:after="200" w:line="276" w:lineRule="auto"/>
    </w:pPr>
    <w:rPr>
      <w:rFonts w:cs="Arial"/>
      <w:sz w:val="21"/>
      <w:szCs w:val="21"/>
      <w:lang w:val="en-US"/>
    </w:rPr>
  </w:style>
  <w:style w:type="paragraph" w:styleId="Heading1">
    <w:name w:val="heading 1"/>
    <w:basedOn w:val="Normal"/>
    <w:next w:val="Normal"/>
    <w:link w:val="Heading1Char"/>
    <w:qFormat/>
    <w:rsid w:val="00321914"/>
    <w:pPr>
      <w:keepNext/>
      <w:numPr>
        <w:numId w:val="8"/>
      </w:numPr>
      <w:spacing w:after="180" w:line="240" w:lineRule="auto"/>
      <w:outlineLvl w:val="0"/>
    </w:pPr>
    <w:rPr>
      <w:b/>
      <w:noProof/>
      <w:kern w:val="32"/>
      <w:sz w:val="32"/>
      <w:szCs w:val="32"/>
      <w:lang w:val="en-AU" w:eastAsia="en-US"/>
    </w:rPr>
  </w:style>
  <w:style w:type="paragraph" w:styleId="Heading2">
    <w:name w:val="heading 2"/>
    <w:basedOn w:val="Normal"/>
    <w:next w:val="Normal"/>
    <w:link w:val="Heading2Char"/>
    <w:qFormat/>
    <w:rsid w:val="00DD10FA"/>
    <w:pPr>
      <w:keepNext/>
      <w:numPr>
        <w:ilvl w:val="1"/>
        <w:numId w:val="8"/>
      </w:numPr>
      <w:spacing w:after="120" w:line="240" w:lineRule="auto"/>
      <w:outlineLvl w:val="1"/>
    </w:pPr>
    <w:rPr>
      <w:bCs/>
      <w:iCs/>
      <w:sz w:val="32"/>
      <w:szCs w:val="32"/>
      <w:lang w:val="en-AU" w:eastAsia="en-US"/>
    </w:rPr>
  </w:style>
  <w:style w:type="paragraph" w:styleId="Heading3">
    <w:name w:val="heading 3"/>
    <w:basedOn w:val="Normal"/>
    <w:next w:val="Normal"/>
    <w:link w:val="Heading3Char"/>
    <w:qFormat/>
    <w:rsid w:val="00DD10FA"/>
    <w:pPr>
      <w:numPr>
        <w:ilvl w:val="2"/>
        <w:numId w:val="8"/>
      </w:numPr>
      <w:spacing w:after="120" w:line="240" w:lineRule="auto"/>
      <w:outlineLvl w:val="2"/>
    </w:pPr>
    <w:rPr>
      <w:color w:val="000000" w:themeColor="text1"/>
      <w:sz w:val="24"/>
      <w:szCs w:val="24"/>
      <w:lang w:val="en-AU" w:eastAsia="en-US"/>
    </w:rPr>
  </w:style>
  <w:style w:type="paragraph" w:styleId="Heading4">
    <w:name w:val="heading 4"/>
    <w:basedOn w:val="BodyText"/>
    <w:next w:val="Normal"/>
    <w:link w:val="Heading4Char"/>
    <w:unhideWhenUsed/>
    <w:qFormat/>
    <w:rsid w:val="00CA6958"/>
    <w:pPr>
      <w:numPr>
        <w:ilvl w:val="3"/>
        <w:numId w:val="8"/>
      </w:numPr>
      <w:spacing w:after="40"/>
      <w:outlineLvl w:val="3"/>
    </w:pPr>
    <w:rPr>
      <w:b/>
    </w:rPr>
  </w:style>
  <w:style w:type="paragraph" w:styleId="Heading5">
    <w:name w:val="heading 5"/>
    <w:basedOn w:val="BodyText"/>
    <w:next w:val="Normal"/>
    <w:link w:val="Heading5Char"/>
    <w:uiPriority w:val="9"/>
    <w:unhideWhenUsed/>
    <w:rsid w:val="004009F9"/>
    <w:pPr>
      <w:numPr>
        <w:ilvl w:val="4"/>
        <w:numId w:val="8"/>
      </w:numPr>
      <w:spacing w:after="40"/>
      <w:outlineLvl w:val="4"/>
    </w:pPr>
    <w:rPr>
      <w:b/>
    </w:rPr>
  </w:style>
  <w:style w:type="paragraph" w:styleId="Heading6">
    <w:name w:val="heading 6"/>
    <w:basedOn w:val="Normal"/>
    <w:next w:val="Normal"/>
    <w:link w:val="Heading6Char"/>
    <w:uiPriority w:val="9"/>
    <w:unhideWhenUsed/>
    <w:qFormat/>
    <w:rsid w:val="009712CC"/>
    <w:pPr>
      <w:numPr>
        <w:ilvl w:val="5"/>
        <w:numId w:val="8"/>
      </w:numPr>
      <w:spacing w:before="240" w:after="60"/>
      <w:outlineLvl w:val="5"/>
    </w:pPr>
    <w:rPr>
      <w:rFonts w:cs="Times New Roman"/>
      <w:bCs/>
      <w:szCs w:val="22"/>
    </w:rPr>
  </w:style>
  <w:style w:type="paragraph" w:styleId="Heading7">
    <w:name w:val="heading 7"/>
    <w:basedOn w:val="TableFigure"/>
    <w:next w:val="Normal"/>
    <w:link w:val="Heading7Char"/>
    <w:uiPriority w:val="9"/>
    <w:unhideWhenUsed/>
    <w:qFormat/>
    <w:locked/>
    <w:rsid w:val="00E32AAD"/>
    <w:pPr>
      <w:numPr>
        <w:ilvl w:val="6"/>
        <w:numId w:val="8"/>
      </w:numPr>
      <w:outlineLvl w:val="6"/>
    </w:pPr>
    <w:rPr>
      <w:sz w:val="21"/>
      <w:szCs w:val="21"/>
    </w:rPr>
  </w:style>
  <w:style w:type="paragraph" w:styleId="Heading8">
    <w:name w:val="heading 8"/>
    <w:basedOn w:val="Normal"/>
    <w:next w:val="Normal"/>
    <w:link w:val="Heading8Char"/>
    <w:uiPriority w:val="9"/>
    <w:semiHidden/>
    <w:unhideWhenUsed/>
    <w:locked/>
    <w:rsid w:val="008A10C1"/>
    <w:pPr>
      <w:numPr>
        <w:ilvl w:val="7"/>
        <w:numId w:val="8"/>
      </w:numPr>
      <w:spacing w:before="240" w:after="60"/>
      <w:outlineLvl w:val="7"/>
    </w:pPr>
    <w:rPr>
      <w:rFonts w:ascii="Calibri" w:hAnsi="Calibri" w:cs="Times New Roman"/>
      <w:i/>
      <w:iCs/>
      <w:sz w:val="24"/>
      <w:szCs w:val="24"/>
    </w:rPr>
  </w:style>
  <w:style w:type="paragraph" w:styleId="Heading9">
    <w:name w:val="heading 9"/>
    <w:basedOn w:val="Normal"/>
    <w:next w:val="Normal"/>
    <w:link w:val="Heading9Char"/>
    <w:uiPriority w:val="9"/>
    <w:semiHidden/>
    <w:unhideWhenUsed/>
    <w:qFormat/>
    <w:locked/>
    <w:rsid w:val="008A10C1"/>
    <w:pPr>
      <w:numPr>
        <w:ilvl w:val="8"/>
        <w:numId w:val="8"/>
      </w:num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D10FA"/>
    <w:rPr>
      <w:rFonts w:cs="Arial"/>
      <w:bCs/>
      <w:iCs/>
      <w:sz w:val="32"/>
      <w:szCs w:val="32"/>
      <w:lang w:eastAsia="en-US"/>
    </w:rPr>
  </w:style>
  <w:style w:type="table" w:customStyle="1" w:styleId="Tablestyle-header">
    <w:name w:val="Table style - header"/>
    <w:basedOn w:val="TableNormal"/>
    <w:uiPriority w:val="99"/>
    <w:rsid w:val="00944FD1"/>
    <w:tblPr/>
  </w:style>
  <w:style w:type="character" w:customStyle="1" w:styleId="Heading1Char">
    <w:name w:val="Heading 1 Char"/>
    <w:link w:val="Heading1"/>
    <w:rsid w:val="00321914"/>
    <w:rPr>
      <w:rFonts w:cs="Arial"/>
      <w:b/>
      <w:noProof/>
      <w:kern w:val="32"/>
      <w:sz w:val="32"/>
      <w:szCs w:val="32"/>
      <w:lang w:eastAsia="en-US"/>
    </w:rPr>
  </w:style>
  <w:style w:type="character" w:customStyle="1" w:styleId="Heading3Char">
    <w:name w:val="Heading 3 Char"/>
    <w:link w:val="Heading3"/>
    <w:rsid w:val="00DD10FA"/>
    <w:rPr>
      <w:rFonts w:cs="Arial"/>
      <w:color w:val="000000" w:themeColor="text1"/>
      <w:sz w:val="24"/>
      <w:szCs w:val="24"/>
      <w:lang w:eastAsia="en-US"/>
    </w:rPr>
  </w:style>
  <w:style w:type="paragraph" w:customStyle="1" w:styleId="Contactdetails">
    <w:name w:val="Contact details"/>
    <w:qFormat/>
    <w:rsid w:val="00596687"/>
    <w:pPr>
      <w:tabs>
        <w:tab w:val="left" w:pos="2552"/>
      </w:tabs>
      <w:spacing w:after="120"/>
      <w:ind w:left="1843" w:hanging="1843"/>
    </w:pPr>
    <w:rPr>
      <w:rFonts w:cs="Arial"/>
      <w:color w:val="006E89"/>
      <w:sz w:val="21"/>
      <w:szCs w:val="21"/>
      <w:lang w:val="en-US"/>
    </w:rPr>
  </w:style>
  <w:style w:type="paragraph" w:styleId="BodyText">
    <w:name w:val="Body Text"/>
    <w:basedOn w:val="Normal"/>
    <w:link w:val="BodyTextChar"/>
    <w:rsid w:val="00B76D1E"/>
    <w:rPr>
      <w:sz w:val="22"/>
      <w:szCs w:val="22"/>
    </w:rPr>
  </w:style>
  <w:style w:type="character" w:customStyle="1" w:styleId="BodyTextChar">
    <w:name w:val="Body Text Char"/>
    <w:link w:val="BodyText"/>
    <w:rsid w:val="00B76D1E"/>
    <w:rPr>
      <w:rFonts w:cs="Arial"/>
      <w:sz w:val="22"/>
      <w:szCs w:val="22"/>
      <w:lang w:val="en-US"/>
    </w:rPr>
  </w:style>
  <w:style w:type="paragraph" w:styleId="Footer">
    <w:name w:val="footer"/>
    <w:basedOn w:val="Normal"/>
    <w:link w:val="FooterChar"/>
    <w:rsid w:val="009F5922"/>
    <w:pPr>
      <w:tabs>
        <w:tab w:val="center" w:pos="4153"/>
        <w:tab w:val="right" w:pos="9639"/>
        <w:tab w:val="right" w:pos="14601"/>
      </w:tabs>
    </w:pPr>
    <w:rPr>
      <w:noProof/>
      <w:color w:val="7F7F7F" w:themeColor="text1" w:themeTint="80"/>
      <w:sz w:val="16"/>
      <w:szCs w:val="16"/>
      <w:lang w:val="en-AU"/>
    </w:rPr>
  </w:style>
  <w:style w:type="character" w:customStyle="1" w:styleId="FooterChar">
    <w:name w:val="Footer Char"/>
    <w:link w:val="Footer"/>
    <w:rsid w:val="009F5922"/>
    <w:rPr>
      <w:rFonts w:cs="Arial"/>
      <w:noProof/>
      <w:color w:val="7F7F7F" w:themeColor="text1" w:themeTint="80"/>
      <w:sz w:val="16"/>
      <w:szCs w:val="16"/>
    </w:rPr>
  </w:style>
  <w:style w:type="paragraph" w:styleId="Header">
    <w:name w:val="header"/>
    <w:basedOn w:val="Normal"/>
    <w:link w:val="HeaderChar"/>
    <w:rsid w:val="009F5922"/>
    <w:pPr>
      <w:tabs>
        <w:tab w:val="center" w:pos="4153"/>
        <w:tab w:val="right" w:pos="8306"/>
      </w:tabs>
    </w:pPr>
    <w:rPr>
      <w:noProof/>
      <w:color w:val="7F7F7F" w:themeColor="text1" w:themeTint="80"/>
      <w:sz w:val="20"/>
    </w:rPr>
  </w:style>
  <w:style w:type="character" w:customStyle="1" w:styleId="HeaderChar">
    <w:name w:val="Header Char"/>
    <w:link w:val="Header"/>
    <w:rsid w:val="009F5922"/>
    <w:rPr>
      <w:rFonts w:cs="Arial"/>
      <w:noProof/>
      <w:color w:val="7F7F7F" w:themeColor="text1" w:themeTint="80"/>
      <w:szCs w:val="21"/>
      <w:lang w:val="en-US"/>
    </w:rPr>
  </w:style>
  <w:style w:type="paragraph" w:styleId="ListBullet">
    <w:name w:val="List Bullet"/>
    <w:basedOn w:val="Normal"/>
    <w:rsid w:val="00B76D1E"/>
    <w:pPr>
      <w:numPr>
        <w:numId w:val="3"/>
      </w:numPr>
      <w:spacing w:after="120"/>
      <w:contextualSpacing/>
    </w:pPr>
  </w:style>
  <w:style w:type="paragraph" w:styleId="ListBullet2">
    <w:name w:val="List Bullet 2"/>
    <w:basedOn w:val="ListBullet"/>
    <w:rsid w:val="00B76D1E"/>
    <w:pPr>
      <w:numPr>
        <w:numId w:val="4"/>
      </w:numPr>
    </w:pPr>
    <w:rPr>
      <w:sz w:val="22"/>
      <w:szCs w:val="22"/>
    </w:rPr>
  </w:style>
  <w:style w:type="paragraph" w:styleId="ListNumber">
    <w:name w:val="List Number"/>
    <w:basedOn w:val="Normal"/>
    <w:rsid w:val="00B76D1E"/>
    <w:pPr>
      <w:numPr>
        <w:numId w:val="2"/>
      </w:numPr>
      <w:spacing w:after="120"/>
      <w:contextualSpacing/>
    </w:pPr>
    <w:rPr>
      <w:color w:val="000000" w:themeColor="text1"/>
      <w:sz w:val="22"/>
      <w:szCs w:val="22"/>
    </w:rPr>
  </w:style>
  <w:style w:type="paragraph" w:customStyle="1" w:styleId="Contactheader">
    <w:name w:val="Contact header"/>
    <w:qFormat/>
    <w:rsid w:val="00596687"/>
    <w:pPr>
      <w:spacing w:after="120"/>
    </w:pPr>
    <w:rPr>
      <w:rFonts w:cs="Arial"/>
      <w:b/>
      <w:color w:val="006E89"/>
      <w:sz w:val="21"/>
      <w:szCs w:val="21"/>
      <w:lang w:val="en-US"/>
    </w:rPr>
  </w:style>
  <w:style w:type="character" w:styleId="PageNumber">
    <w:name w:val="page number"/>
    <w:rsid w:val="00A320B9"/>
  </w:style>
  <w:style w:type="character" w:customStyle="1" w:styleId="Heading4Char">
    <w:name w:val="Heading 4 Char"/>
    <w:link w:val="Heading4"/>
    <w:rsid w:val="00CA6958"/>
    <w:rPr>
      <w:rFonts w:cs="Arial"/>
      <w:b/>
      <w:sz w:val="22"/>
      <w:szCs w:val="22"/>
      <w:lang w:val="en-US"/>
    </w:rPr>
  </w:style>
  <w:style w:type="character" w:styleId="IntenseReference">
    <w:name w:val="Intense Reference"/>
    <w:uiPriority w:val="32"/>
    <w:locked/>
    <w:rsid w:val="009A76C8"/>
  </w:style>
  <w:style w:type="paragraph" w:styleId="ListContinue">
    <w:name w:val="List Continue"/>
    <w:basedOn w:val="Normal"/>
    <w:rsid w:val="00A320B9"/>
    <w:pPr>
      <w:spacing w:after="120"/>
      <w:ind w:left="426"/>
      <w:contextualSpacing/>
    </w:pPr>
  </w:style>
  <w:style w:type="paragraph" w:customStyle="1" w:styleId="Tableheader">
    <w:name w:val="Table header"/>
    <w:qFormat/>
    <w:rsid w:val="00F03548"/>
    <w:pPr>
      <w:ind w:left="142"/>
    </w:pPr>
    <w:rPr>
      <w:rFonts w:cs="Arial"/>
      <w:b/>
      <w:bCs/>
      <w:color w:val="720F66"/>
      <w:sz w:val="24"/>
      <w:szCs w:val="24"/>
      <w:lang w:val="en-US"/>
    </w:rPr>
  </w:style>
  <w:style w:type="paragraph" w:customStyle="1" w:styleId="Tabletext">
    <w:name w:val="Table text"/>
    <w:qFormat/>
    <w:rsid w:val="00B76D1E"/>
    <w:pPr>
      <w:spacing w:before="40" w:after="40"/>
      <w:ind w:left="142"/>
    </w:pPr>
    <w:rPr>
      <w:rFonts w:cs="Arial"/>
      <w:sz w:val="22"/>
      <w:szCs w:val="22"/>
      <w:lang w:val="en-US"/>
    </w:rPr>
  </w:style>
  <w:style w:type="paragraph" w:customStyle="1" w:styleId="TableFigure">
    <w:name w:val="Table/Figure #"/>
    <w:qFormat/>
    <w:rsid w:val="00B76D1E"/>
    <w:pPr>
      <w:tabs>
        <w:tab w:val="left" w:pos="567"/>
      </w:tabs>
      <w:spacing w:before="200" w:after="60"/>
    </w:pPr>
    <w:rPr>
      <w:rFonts w:cs="Arial"/>
      <w:i/>
      <w:color w:val="000000" w:themeColor="text1"/>
      <w:lang w:val="en-US"/>
    </w:rPr>
  </w:style>
  <w:style w:type="paragraph" w:styleId="TOC1">
    <w:name w:val="toc 1"/>
    <w:basedOn w:val="Normal"/>
    <w:next w:val="Normal"/>
    <w:autoRedefine/>
    <w:uiPriority w:val="39"/>
    <w:rsid w:val="00D93690"/>
    <w:pPr>
      <w:tabs>
        <w:tab w:val="left" w:pos="426"/>
        <w:tab w:val="right" w:pos="9639"/>
        <w:tab w:val="right" w:leader="dot" w:pos="14601"/>
      </w:tabs>
      <w:spacing w:after="40"/>
    </w:pPr>
    <w:rPr>
      <w:noProof/>
      <w:sz w:val="24"/>
      <w:szCs w:val="24"/>
    </w:rPr>
  </w:style>
  <w:style w:type="paragraph" w:styleId="TOC2">
    <w:name w:val="toc 2"/>
    <w:basedOn w:val="Normal"/>
    <w:next w:val="Normal"/>
    <w:autoRedefine/>
    <w:uiPriority w:val="39"/>
    <w:rsid w:val="00897AED"/>
    <w:pPr>
      <w:tabs>
        <w:tab w:val="left" w:pos="1134"/>
        <w:tab w:val="right" w:pos="9639"/>
        <w:tab w:val="right" w:leader="dot" w:pos="14601"/>
      </w:tabs>
      <w:spacing w:after="40" w:line="240" w:lineRule="auto"/>
      <w:ind w:left="1134" w:hanging="709"/>
    </w:pPr>
    <w:rPr>
      <w:noProof/>
      <w:color w:val="000000" w:themeColor="text1"/>
      <w:sz w:val="22"/>
      <w:szCs w:val="22"/>
    </w:rPr>
  </w:style>
  <w:style w:type="paragraph" w:styleId="TOC3">
    <w:name w:val="toc 3"/>
    <w:basedOn w:val="Normal"/>
    <w:next w:val="Normal"/>
    <w:autoRedefine/>
    <w:uiPriority w:val="39"/>
    <w:rsid w:val="00897AED"/>
    <w:pPr>
      <w:tabs>
        <w:tab w:val="left" w:pos="1843"/>
        <w:tab w:val="right" w:pos="9639"/>
        <w:tab w:val="right" w:leader="dot" w:pos="14601"/>
      </w:tabs>
      <w:spacing w:after="40" w:line="240" w:lineRule="auto"/>
      <w:ind w:left="1843" w:hanging="709"/>
    </w:pPr>
    <w:rPr>
      <w:noProof/>
      <w:color w:val="000000" w:themeColor="text1"/>
      <w:sz w:val="20"/>
    </w:rPr>
  </w:style>
  <w:style w:type="paragraph" w:styleId="TOCHeading">
    <w:name w:val="TOC Heading"/>
    <w:next w:val="Normal"/>
    <w:uiPriority w:val="39"/>
    <w:unhideWhenUsed/>
    <w:qFormat/>
    <w:rsid w:val="00D93690"/>
    <w:pPr>
      <w:pageBreakBefore/>
      <w:spacing w:after="180" w:line="276" w:lineRule="auto"/>
    </w:pPr>
    <w:rPr>
      <w:rFonts w:cs="Arial"/>
      <w:b/>
      <w:iCs/>
      <w:noProof/>
      <w:sz w:val="34"/>
      <w:szCs w:val="34"/>
    </w:rPr>
  </w:style>
  <w:style w:type="character" w:styleId="Hyperlink">
    <w:name w:val="Hyperlink"/>
    <w:uiPriority w:val="99"/>
    <w:unhideWhenUsed/>
    <w:rsid w:val="00E1387B"/>
    <w:rPr>
      <w:color w:val="0000FF"/>
      <w:u w:val="single"/>
    </w:rPr>
  </w:style>
  <w:style w:type="character" w:styleId="Strong">
    <w:name w:val="Strong"/>
    <w:qFormat/>
    <w:rsid w:val="00A320B9"/>
    <w:rPr>
      <w:b/>
      <w:bCs/>
    </w:rPr>
  </w:style>
  <w:style w:type="table" w:styleId="TableGrid">
    <w:name w:val="Table Grid"/>
    <w:basedOn w:val="TableNormal"/>
    <w:uiPriority w:val="39"/>
    <w:locked/>
    <w:rsid w:val="00A320B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qFormat/>
    <w:rsid w:val="00B76D1E"/>
    <w:pPr>
      <w:numPr>
        <w:numId w:val="5"/>
      </w:numPr>
      <w:spacing w:before="40" w:after="40"/>
    </w:pPr>
    <w:rPr>
      <w:rFonts w:cs="Arial"/>
      <w:sz w:val="22"/>
      <w:szCs w:val="22"/>
      <w:lang w:val="en-US"/>
    </w:rPr>
  </w:style>
  <w:style w:type="paragraph" w:customStyle="1" w:styleId="Coverpagebranchname">
    <w:name w:val="Cover page: branch name"/>
    <w:qFormat/>
    <w:rsid w:val="001D798A"/>
    <w:pPr>
      <w:spacing w:after="200"/>
    </w:pPr>
    <w:rPr>
      <w:rFonts w:cs="Arial"/>
      <w:bCs/>
      <w:color w:val="FFFFFF"/>
      <w:kern w:val="32"/>
      <w:sz w:val="28"/>
      <w:szCs w:val="28"/>
      <w:lang w:val="en-US"/>
    </w:rPr>
  </w:style>
  <w:style w:type="paragraph" w:customStyle="1" w:styleId="Coverpagetitle">
    <w:name w:val="Cover page: title"/>
    <w:qFormat/>
    <w:rsid w:val="001F6479"/>
    <w:pPr>
      <w:spacing w:after="300"/>
    </w:pPr>
    <w:rPr>
      <w:rFonts w:ascii="Arial Black" w:hAnsi="Arial Black" w:cs="Arial"/>
      <w:bCs/>
      <w:kern w:val="32"/>
      <w:sz w:val="50"/>
      <w:szCs w:val="50"/>
      <w:lang w:val="en-US"/>
    </w:rPr>
  </w:style>
  <w:style w:type="paragraph" w:customStyle="1" w:styleId="Coverpagesecondarytitle">
    <w:name w:val="Cover page: secondary title"/>
    <w:qFormat/>
    <w:rsid w:val="001F6479"/>
    <w:pPr>
      <w:spacing w:after="120"/>
    </w:pPr>
    <w:rPr>
      <w:rFonts w:cs="Arial"/>
      <w:sz w:val="28"/>
      <w:szCs w:val="28"/>
    </w:rPr>
  </w:style>
  <w:style w:type="numbering" w:customStyle="1" w:styleId="Headings">
    <w:name w:val="Headings"/>
    <w:uiPriority w:val="99"/>
    <w:rsid w:val="00AC7596"/>
    <w:pPr>
      <w:numPr>
        <w:numId w:val="6"/>
      </w:numPr>
    </w:pPr>
  </w:style>
  <w:style w:type="paragraph" w:styleId="EndnoteText">
    <w:name w:val="endnote text"/>
    <w:basedOn w:val="Normal"/>
    <w:link w:val="EndnoteTextChar"/>
    <w:uiPriority w:val="99"/>
    <w:unhideWhenUsed/>
    <w:rsid w:val="0030783B"/>
    <w:pPr>
      <w:spacing w:after="40" w:line="240" w:lineRule="auto"/>
    </w:pPr>
    <w:rPr>
      <w:sz w:val="18"/>
      <w:szCs w:val="18"/>
    </w:rPr>
  </w:style>
  <w:style w:type="character" w:customStyle="1" w:styleId="EndnoteTextChar">
    <w:name w:val="Endnote Text Char"/>
    <w:link w:val="EndnoteText"/>
    <w:uiPriority w:val="99"/>
    <w:rsid w:val="0030783B"/>
    <w:rPr>
      <w:rFonts w:cs="Arial"/>
      <w:sz w:val="18"/>
      <w:szCs w:val="18"/>
      <w:lang w:val="en-US"/>
    </w:rPr>
  </w:style>
  <w:style w:type="character" w:styleId="EndnoteReference">
    <w:name w:val="endnote reference"/>
    <w:uiPriority w:val="99"/>
    <w:unhideWhenUsed/>
    <w:rsid w:val="0030783B"/>
    <w:rPr>
      <w:sz w:val="16"/>
      <w:szCs w:val="16"/>
    </w:rPr>
  </w:style>
  <w:style w:type="character" w:styleId="SubtleReference">
    <w:name w:val="Subtle Reference"/>
    <w:aliases w:val="Legislation"/>
    <w:uiPriority w:val="31"/>
    <w:rsid w:val="0095525B"/>
    <w:rPr>
      <w:i/>
    </w:rPr>
  </w:style>
  <w:style w:type="character" w:styleId="IntenseEmphasis">
    <w:name w:val="Intense Emphasis"/>
    <w:uiPriority w:val="21"/>
    <w:locked/>
    <w:rsid w:val="00327A32"/>
    <w:rPr>
      <w:i/>
      <w:sz w:val="22"/>
      <w:szCs w:val="22"/>
    </w:rPr>
  </w:style>
  <w:style w:type="character" w:customStyle="1" w:styleId="Heading5Char">
    <w:name w:val="Heading 5 Char"/>
    <w:link w:val="Heading5"/>
    <w:uiPriority w:val="9"/>
    <w:rsid w:val="004009F9"/>
    <w:rPr>
      <w:rFonts w:cs="Arial"/>
      <w:b/>
      <w:sz w:val="22"/>
      <w:szCs w:val="22"/>
      <w:lang w:val="en-US"/>
    </w:rPr>
  </w:style>
  <w:style w:type="character" w:styleId="PlaceholderText">
    <w:name w:val="Placeholder Text"/>
    <w:uiPriority w:val="99"/>
    <w:semiHidden/>
    <w:locked/>
    <w:rsid w:val="0095525B"/>
    <w:rPr>
      <w:color w:val="808080"/>
    </w:rPr>
  </w:style>
  <w:style w:type="paragraph" w:styleId="BalloonText">
    <w:name w:val="Balloon Text"/>
    <w:basedOn w:val="Normal"/>
    <w:link w:val="BalloonTextChar"/>
    <w:uiPriority w:val="99"/>
    <w:semiHidden/>
    <w:unhideWhenUsed/>
    <w:locked/>
    <w:rsid w:val="0095525B"/>
    <w:pPr>
      <w:spacing w:after="0" w:line="240" w:lineRule="auto"/>
    </w:pPr>
    <w:rPr>
      <w:rFonts w:ascii="Tahoma" w:hAnsi="Tahoma" w:cs="Tahoma"/>
      <w:sz w:val="16"/>
      <w:szCs w:val="16"/>
    </w:rPr>
  </w:style>
  <w:style w:type="paragraph" w:styleId="BlockText">
    <w:name w:val="Block Text"/>
    <w:basedOn w:val="Normal"/>
    <w:uiPriority w:val="99"/>
    <w:unhideWhenUsed/>
    <w:rsid w:val="00F03548"/>
    <w:pPr>
      <w:pBdr>
        <w:top w:val="single" w:sz="4" w:space="1" w:color="8F005D"/>
        <w:bottom w:val="single" w:sz="4" w:space="1" w:color="8F005D"/>
      </w:pBdr>
      <w:spacing w:before="300" w:after="300"/>
      <w:ind w:right="126"/>
    </w:pPr>
    <w:rPr>
      <w:b/>
      <w:bCs/>
      <w:iCs/>
      <w:color w:val="720F66"/>
      <w:sz w:val="24"/>
      <w:szCs w:val="24"/>
    </w:rPr>
  </w:style>
  <w:style w:type="character" w:customStyle="1" w:styleId="Heading6Char">
    <w:name w:val="Heading 6 Char"/>
    <w:link w:val="Heading6"/>
    <w:uiPriority w:val="9"/>
    <w:rsid w:val="009712CC"/>
    <w:rPr>
      <w:bCs/>
      <w:sz w:val="21"/>
      <w:szCs w:val="22"/>
      <w:lang w:val="en-US"/>
    </w:rPr>
  </w:style>
  <w:style w:type="character" w:customStyle="1" w:styleId="Heading7Char">
    <w:name w:val="Heading 7 Char"/>
    <w:link w:val="Heading7"/>
    <w:uiPriority w:val="9"/>
    <w:rsid w:val="00E32AAD"/>
    <w:rPr>
      <w:rFonts w:cs="Arial"/>
      <w:i/>
      <w:color w:val="000000" w:themeColor="text1"/>
      <w:sz w:val="21"/>
      <w:szCs w:val="21"/>
      <w:lang w:val="en-US"/>
    </w:rPr>
  </w:style>
  <w:style w:type="character" w:customStyle="1" w:styleId="Heading8Char">
    <w:name w:val="Heading 8 Char"/>
    <w:link w:val="Heading8"/>
    <w:uiPriority w:val="9"/>
    <w:semiHidden/>
    <w:rsid w:val="008A10C1"/>
    <w:rPr>
      <w:rFonts w:ascii="Calibri" w:hAnsi="Calibri"/>
      <w:i/>
      <w:iCs/>
      <w:sz w:val="24"/>
      <w:szCs w:val="24"/>
      <w:lang w:val="en-US"/>
    </w:rPr>
  </w:style>
  <w:style w:type="character" w:customStyle="1" w:styleId="Heading9Char">
    <w:name w:val="Heading 9 Char"/>
    <w:link w:val="Heading9"/>
    <w:uiPriority w:val="9"/>
    <w:semiHidden/>
    <w:rsid w:val="008A10C1"/>
    <w:rPr>
      <w:rFonts w:ascii="Cambria" w:hAnsi="Cambria"/>
      <w:sz w:val="22"/>
      <w:szCs w:val="22"/>
      <w:lang w:val="en-US"/>
    </w:rPr>
  </w:style>
  <w:style w:type="character" w:customStyle="1" w:styleId="BalloonTextChar">
    <w:name w:val="Balloon Text Char"/>
    <w:link w:val="BalloonText"/>
    <w:uiPriority w:val="99"/>
    <w:semiHidden/>
    <w:rsid w:val="0095525B"/>
    <w:rPr>
      <w:rFonts w:ascii="Tahoma" w:hAnsi="Tahoma" w:cs="Tahoma"/>
      <w:sz w:val="16"/>
      <w:szCs w:val="16"/>
      <w:lang w:val="en-US"/>
    </w:rPr>
  </w:style>
  <w:style w:type="paragraph" w:customStyle="1" w:styleId="bullet">
    <w:name w:val="bullet"/>
    <w:basedOn w:val="ListBullet"/>
    <w:qFormat/>
    <w:rsid w:val="00C06C34"/>
  </w:style>
  <w:style w:type="paragraph" w:customStyle="1" w:styleId="secondarybullet">
    <w:name w:val="secondary bullet"/>
    <w:basedOn w:val="Normal"/>
    <w:qFormat/>
    <w:rsid w:val="00C06C34"/>
    <w:pPr>
      <w:numPr>
        <w:ilvl w:val="3"/>
        <w:numId w:val="7"/>
      </w:numPr>
      <w:tabs>
        <w:tab w:val="left" w:pos="1134"/>
      </w:tabs>
      <w:autoSpaceDE w:val="0"/>
      <w:autoSpaceDN w:val="0"/>
      <w:adjustRightInd w:val="0"/>
      <w:spacing w:after="0" w:line="240" w:lineRule="auto"/>
      <w:ind w:left="1134" w:hanging="567"/>
    </w:pPr>
    <w:rPr>
      <w:color w:val="000000"/>
      <w:sz w:val="22"/>
      <w:szCs w:val="22"/>
      <w:lang w:val="en-AU"/>
    </w:rPr>
  </w:style>
  <w:style w:type="paragraph" w:styleId="Caption">
    <w:name w:val="caption"/>
    <w:basedOn w:val="Normal"/>
    <w:next w:val="Normal"/>
    <w:uiPriority w:val="35"/>
    <w:unhideWhenUsed/>
    <w:qFormat/>
    <w:locked/>
    <w:rsid w:val="00854A5E"/>
    <w:pPr>
      <w:keepNext/>
      <w:spacing w:line="240" w:lineRule="auto"/>
    </w:pPr>
    <w:rPr>
      <w:b/>
      <w:bCs/>
      <w:color w:val="000000" w:themeColor="text1"/>
      <w:sz w:val="22"/>
      <w:szCs w:val="22"/>
    </w:rPr>
  </w:style>
  <w:style w:type="numbering" w:customStyle="1" w:styleId="CurrentList1">
    <w:name w:val="Current List1"/>
    <w:uiPriority w:val="99"/>
    <w:rsid w:val="00B76D1E"/>
    <w:pPr>
      <w:numPr>
        <w:numId w:val="9"/>
      </w:numPr>
    </w:pPr>
  </w:style>
  <w:style w:type="paragraph" w:styleId="ListParagraph">
    <w:name w:val="List Paragraph"/>
    <w:basedOn w:val="Normal"/>
    <w:uiPriority w:val="34"/>
    <w:qFormat/>
    <w:rsid w:val="00B04E62"/>
    <w:pPr>
      <w:spacing w:after="160" w:line="259" w:lineRule="auto"/>
      <w:ind w:left="720"/>
      <w:contextualSpacing/>
    </w:pPr>
    <w:rPr>
      <w:rFonts w:asciiTheme="minorHAnsi" w:eastAsiaTheme="minorHAnsi" w:hAnsiTheme="minorHAnsi" w:cstheme="minorBidi"/>
      <w:sz w:val="22"/>
      <w:szCs w:val="22"/>
      <w:lang w:val="en-AU" w:eastAsia="en-US"/>
    </w:rPr>
  </w:style>
  <w:style w:type="character" w:styleId="UnresolvedMention">
    <w:name w:val="Unresolved Mention"/>
    <w:basedOn w:val="DefaultParagraphFont"/>
    <w:uiPriority w:val="99"/>
    <w:semiHidden/>
    <w:unhideWhenUsed/>
    <w:rsid w:val="00F62EF1"/>
    <w:rPr>
      <w:color w:val="605E5C"/>
      <w:shd w:val="clear" w:color="auto" w:fill="E1DFDD"/>
    </w:rPr>
  </w:style>
  <w:style w:type="character" w:styleId="FootnoteReference">
    <w:name w:val="footnote reference"/>
    <w:basedOn w:val="DefaultParagraphFont"/>
    <w:uiPriority w:val="99"/>
    <w:semiHidden/>
    <w:unhideWhenUsed/>
    <w:rsid w:val="0032228A"/>
    <w:rPr>
      <w:vertAlign w:val="superscript"/>
    </w:rPr>
  </w:style>
  <w:style w:type="paragraph" w:styleId="FootnoteText">
    <w:name w:val="footnote text"/>
    <w:basedOn w:val="Normal"/>
    <w:link w:val="FootnoteTextChar"/>
    <w:uiPriority w:val="99"/>
    <w:semiHidden/>
    <w:unhideWhenUsed/>
    <w:rsid w:val="003222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228A"/>
    <w:rPr>
      <w:rFonts w:cs="Arial"/>
      <w:lang w:val="en-US"/>
    </w:rPr>
  </w:style>
  <w:style w:type="character" w:styleId="CommentReference">
    <w:name w:val="annotation reference"/>
    <w:basedOn w:val="DefaultParagraphFont"/>
    <w:uiPriority w:val="99"/>
    <w:semiHidden/>
    <w:unhideWhenUsed/>
    <w:locked/>
    <w:rsid w:val="003B09F2"/>
    <w:rPr>
      <w:sz w:val="16"/>
      <w:szCs w:val="16"/>
    </w:rPr>
  </w:style>
  <w:style w:type="paragraph" w:styleId="CommentText">
    <w:name w:val="annotation text"/>
    <w:basedOn w:val="Normal"/>
    <w:link w:val="CommentTextChar"/>
    <w:uiPriority w:val="99"/>
    <w:unhideWhenUsed/>
    <w:locked/>
    <w:rsid w:val="003B09F2"/>
    <w:pPr>
      <w:spacing w:after="160" w:line="240" w:lineRule="auto"/>
    </w:pPr>
    <w:rPr>
      <w:rFonts w:asciiTheme="minorHAnsi" w:eastAsiaTheme="minorHAnsi" w:hAnsiTheme="minorHAnsi" w:cstheme="minorBidi"/>
      <w:sz w:val="20"/>
      <w:szCs w:val="20"/>
      <w:lang w:val="en-AU" w:eastAsia="en-US"/>
    </w:rPr>
  </w:style>
  <w:style w:type="character" w:customStyle="1" w:styleId="CommentTextChar">
    <w:name w:val="Comment Text Char"/>
    <w:basedOn w:val="DefaultParagraphFont"/>
    <w:link w:val="CommentText"/>
    <w:uiPriority w:val="99"/>
    <w:rsid w:val="003B09F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locked/>
    <w:rsid w:val="003B09F2"/>
    <w:pPr>
      <w:spacing w:after="200"/>
    </w:pPr>
    <w:rPr>
      <w:rFonts w:ascii="Arial" w:eastAsia="Times New Roman" w:hAnsi="Arial" w:cs="Arial"/>
      <w:b/>
      <w:bCs/>
      <w:lang w:val="en-US" w:eastAsia="en-AU"/>
    </w:rPr>
  </w:style>
  <w:style w:type="character" w:customStyle="1" w:styleId="CommentSubjectChar">
    <w:name w:val="Comment Subject Char"/>
    <w:basedOn w:val="CommentTextChar"/>
    <w:link w:val="CommentSubject"/>
    <w:uiPriority w:val="99"/>
    <w:semiHidden/>
    <w:rsid w:val="003B09F2"/>
    <w:rPr>
      <w:rFonts w:asciiTheme="minorHAnsi" w:eastAsiaTheme="minorHAnsi" w:hAnsiTheme="minorHAnsi" w:cs="Arial"/>
      <w:b/>
      <w:bCs/>
      <w:lang w:val="en-US" w:eastAsia="en-US"/>
    </w:rPr>
  </w:style>
  <w:style w:type="paragraph" w:styleId="Revision">
    <w:name w:val="Revision"/>
    <w:hidden/>
    <w:uiPriority w:val="99"/>
    <w:semiHidden/>
    <w:rsid w:val="00EF1595"/>
    <w:rPr>
      <w:rFonts w:cs="Arial"/>
      <w:sz w:val="21"/>
      <w:szCs w:val="21"/>
      <w:lang w:val="en-US"/>
    </w:rPr>
  </w:style>
  <w:style w:type="character" w:styleId="FollowedHyperlink">
    <w:name w:val="FollowedHyperlink"/>
    <w:basedOn w:val="DefaultParagraphFont"/>
    <w:uiPriority w:val="99"/>
    <w:semiHidden/>
    <w:unhideWhenUsed/>
    <w:locked/>
    <w:rsid w:val="00EF15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96053">
      <w:bodyDiv w:val="1"/>
      <w:marLeft w:val="0"/>
      <w:marRight w:val="0"/>
      <w:marTop w:val="0"/>
      <w:marBottom w:val="0"/>
      <w:divBdr>
        <w:top w:val="none" w:sz="0" w:space="0" w:color="auto"/>
        <w:left w:val="none" w:sz="0" w:space="0" w:color="auto"/>
        <w:bottom w:val="none" w:sz="0" w:space="0" w:color="auto"/>
        <w:right w:val="none" w:sz="0" w:space="0" w:color="auto"/>
      </w:divBdr>
    </w:div>
    <w:div w:id="192711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76C36E1704492E8CD0C01477EFE3FD"/>
        <w:category>
          <w:name w:val="General"/>
          <w:gallery w:val="placeholder"/>
        </w:category>
        <w:types>
          <w:type w:val="bbPlcHdr"/>
        </w:types>
        <w:behaviors>
          <w:behavior w:val="content"/>
        </w:behaviors>
        <w:guid w:val="{8BDD581A-BE89-4EE2-A75E-3BB9A3048A9C}"/>
      </w:docPartPr>
      <w:docPartBody>
        <w:p w:rsidR="00990E30" w:rsidRDefault="003C4C01" w:rsidP="003C4C01">
          <w:pPr>
            <w:pStyle w:val="C476C36E1704492E8CD0C01477EFE3FD"/>
          </w:pPr>
          <w:r w:rsidRPr="006716C0">
            <w:rPr>
              <w:rStyle w:val="PlaceholderText"/>
            </w:rPr>
            <w:t>Choose an item.</w:t>
          </w:r>
        </w:p>
      </w:docPartBody>
    </w:docPart>
    <w:docPart>
      <w:docPartPr>
        <w:name w:val="0B06C917FC2E4CCE806F93105B1C4F71"/>
        <w:category>
          <w:name w:val="General"/>
          <w:gallery w:val="placeholder"/>
        </w:category>
        <w:types>
          <w:type w:val="bbPlcHdr"/>
        </w:types>
        <w:behaviors>
          <w:behavior w:val="content"/>
        </w:behaviors>
        <w:guid w:val="{CB1AF71F-2853-4976-81FD-6FDAB0735662}"/>
      </w:docPartPr>
      <w:docPartBody>
        <w:p w:rsidR="00990E30" w:rsidRDefault="003C4C01" w:rsidP="003C4C01">
          <w:pPr>
            <w:pStyle w:val="0B06C917FC2E4CCE806F93105B1C4F71"/>
          </w:pPr>
          <w:r w:rsidRPr="006716C0">
            <w:rPr>
              <w:rStyle w:val="PlaceholderText"/>
            </w:rPr>
            <w:t>Choose an item.</w:t>
          </w:r>
        </w:p>
      </w:docPartBody>
    </w:docPart>
    <w:docPart>
      <w:docPartPr>
        <w:name w:val="E69C4B1275C944C897042E6224B31D5C"/>
        <w:category>
          <w:name w:val="General"/>
          <w:gallery w:val="placeholder"/>
        </w:category>
        <w:types>
          <w:type w:val="bbPlcHdr"/>
        </w:types>
        <w:behaviors>
          <w:behavior w:val="content"/>
        </w:behaviors>
        <w:guid w:val="{C27CAE1C-1DCC-430D-B77E-46B0F5ACBC34}"/>
      </w:docPartPr>
      <w:docPartBody>
        <w:p w:rsidR="00454819" w:rsidRDefault="00102C65" w:rsidP="00102C65">
          <w:pPr>
            <w:pStyle w:val="E69C4B1275C944C897042E6224B31D5C"/>
          </w:pPr>
          <w:r w:rsidRPr="006716C0">
            <w:rPr>
              <w:rStyle w:val="PlaceholderText"/>
            </w:rPr>
            <w:t>Choose an item.</w:t>
          </w:r>
        </w:p>
      </w:docPartBody>
    </w:docPart>
    <w:docPart>
      <w:docPartPr>
        <w:name w:val="18A7A45526884ABCA23A8586A008633C"/>
        <w:category>
          <w:name w:val="General"/>
          <w:gallery w:val="placeholder"/>
        </w:category>
        <w:types>
          <w:type w:val="bbPlcHdr"/>
        </w:types>
        <w:behaviors>
          <w:behavior w:val="content"/>
        </w:behaviors>
        <w:guid w:val="{28C84817-0F8E-4754-825F-C373585AF231}"/>
      </w:docPartPr>
      <w:docPartBody>
        <w:p w:rsidR="00454819" w:rsidRDefault="00102C65" w:rsidP="00102C65">
          <w:pPr>
            <w:pStyle w:val="18A7A45526884ABCA23A8586A008633C"/>
          </w:pPr>
          <w:r w:rsidRPr="006716C0">
            <w:rPr>
              <w:rStyle w:val="PlaceholderText"/>
            </w:rPr>
            <w:t>Choose an item.</w:t>
          </w:r>
        </w:p>
      </w:docPartBody>
    </w:docPart>
    <w:docPart>
      <w:docPartPr>
        <w:name w:val="0919C4ADAD78456CAE80E2893718DCC9"/>
        <w:category>
          <w:name w:val="General"/>
          <w:gallery w:val="placeholder"/>
        </w:category>
        <w:types>
          <w:type w:val="bbPlcHdr"/>
        </w:types>
        <w:behaviors>
          <w:behavior w:val="content"/>
        </w:behaviors>
        <w:guid w:val="{8B8942DF-4CD8-4B8A-863A-5D0C874B615A}"/>
      </w:docPartPr>
      <w:docPartBody>
        <w:p w:rsidR="00454819" w:rsidRDefault="00102C65" w:rsidP="00102C65">
          <w:pPr>
            <w:pStyle w:val="0919C4ADAD78456CAE80E2893718DCC9"/>
          </w:pPr>
          <w:r w:rsidRPr="006716C0">
            <w:rPr>
              <w:rStyle w:val="PlaceholderText"/>
            </w:rPr>
            <w:t>Choose an item.</w:t>
          </w:r>
        </w:p>
      </w:docPartBody>
    </w:docPart>
    <w:docPart>
      <w:docPartPr>
        <w:name w:val="FB418FF0E8C941DB9A4F4D631815FC55"/>
        <w:category>
          <w:name w:val="General"/>
          <w:gallery w:val="placeholder"/>
        </w:category>
        <w:types>
          <w:type w:val="bbPlcHdr"/>
        </w:types>
        <w:behaviors>
          <w:behavior w:val="content"/>
        </w:behaviors>
        <w:guid w:val="{D6A05523-A314-4674-A7E4-3F9860B45782}"/>
      </w:docPartPr>
      <w:docPartBody>
        <w:p w:rsidR="008552FF" w:rsidRDefault="000B1C29" w:rsidP="000B1C29">
          <w:pPr>
            <w:pStyle w:val="FB418FF0E8C941DB9A4F4D631815FC55"/>
          </w:pPr>
          <w:r w:rsidRPr="006716C0">
            <w:rPr>
              <w:rStyle w:val="PlaceholderText"/>
            </w:rPr>
            <w:t>Choose an item.</w:t>
          </w:r>
        </w:p>
      </w:docPartBody>
    </w:docPart>
    <w:docPart>
      <w:docPartPr>
        <w:name w:val="5B391CD35AC6453EAB6A7A166D0BABA5"/>
        <w:category>
          <w:name w:val="General"/>
          <w:gallery w:val="placeholder"/>
        </w:category>
        <w:types>
          <w:type w:val="bbPlcHdr"/>
        </w:types>
        <w:behaviors>
          <w:behavior w:val="content"/>
        </w:behaviors>
        <w:guid w:val="{F573AF7E-FDBD-4CCD-B5F3-BECDA642BE98}"/>
      </w:docPartPr>
      <w:docPartBody>
        <w:p w:rsidR="008552FF" w:rsidRDefault="000B1C29" w:rsidP="000B1C29">
          <w:pPr>
            <w:pStyle w:val="5B391CD35AC6453EAB6A7A166D0BABA5"/>
          </w:pPr>
          <w:r w:rsidRPr="006716C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A24"/>
    <w:rsid w:val="00032093"/>
    <w:rsid w:val="000B1C29"/>
    <w:rsid w:val="000C602E"/>
    <w:rsid w:val="00102C65"/>
    <w:rsid w:val="0015657A"/>
    <w:rsid w:val="002A6C0E"/>
    <w:rsid w:val="002D0B0D"/>
    <w:rsid w:val="00321C8F"/>
    <w:rsid w:val="00337B7B"/>
    <w:rsid w:val="00365CD7"/>
    <w:rsid w:val="003B269D"/>
    <w:rsid w:val="003C4C01"/>
    <w:rsid w:val="00436C57"/>
    <w:rsid w:val="00454819"/>
    <w:rsid w:val="004A55F5"/>
    <w:rsid w:val="004B5DCD"/>
    <w:rsid w:val="00514176"/>
    <w:rsid w:val="006252A9"/>
    <w:rsid w:val="00680486"/>
    <w:rsid w:val="006B257D"/>
    <w:rsid w:val="00782254"/>
    <w:rsid w:val="00850F19"/>
    <w:rsid w:val="008552FF"/>
    <w:rsid w:val="00863167"/>
    <w:rsid w:val="00890180"/>
    <w:rsid w:val="00981B55"/>
    <w:rsid w:val="00990E30"/>
    <w:rsid w:val="00A11EA2"/>
    <w:rsid w:val="00A82889"/>
    <w:rsid w:val="00AA72B0"/>
    <w:rsid w:val="00AC26AE"/>
    <w:rsid w:val="00B13618"/>
    <w:rsid w:val="00B30D57"/>
    <w:rsid w:val="00C05028"/>
    <w:rsid w:val="00C302DC"/>
    <w:rsid w:val="00D576F3"/>
    <w:rsid w:val="00E7159E"/>
    <w:rsid w:val="00E80C74"/>
    <w:rsid w:val="00EC13BB"/>
    <w:rsid w:val="00F45A24"/>
    <w:rsid w:val="00F5669E"/>
    <w:rsid w:val="00F61B23"/>
    <w:rsid w:val="00FA04D2"/>
    <w:rsid w:val="00FE4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1C29"/>
    <w:rPr>
      <w:color w:val="808080"/>
    </w:rPr>
  </w:style>
  <w:style w:type="paragraph" w:customStyle="1" w:styleId="FB418FF0E8C941DB9A4F4D631815FC55">
    <w:name w:val="FB418FF0E8C941DB9A4F4D631815FC55"/>
    <w:rsid w:val="000B1C29"/>
    <w:pPr>
      <w:spacing w:line="278" w:lineRule="auto"/>
    </w:pPr>
    <w:rPr>
      <w:sz w:val="24"/>
      <w:szCs w:val="24"/>
    </w:rPr>
  </w:style>
  <w:style w:type="paragraph" w:customStyle="1" w:styleId="C476C36E1704492E8CD0C01477EFE3FD">
    <w:name w:val="C476C36E1704492E8CD0C01477EFE3FD"/>
    <w:rsid w:val="003C4C01"/>
  </w:style>
  <w:style w:type="paragraph" w:customStyle="1" w:styleId="5B391CD35AC6453EAB6A7A166D0BABA5">
    <w:name w:val="5B391CD35AC6453EAB6A7A166D0BABA5"/>
    <w:rsid w:val="000B1C29"/>
    <w:pPr>
      <w:spacing w:line="278" w:lineRule="auto"/>
    </w:pPr>
    <w:rPr>
      <w:sz w:val="24"/>
      <w:szCs w:val="24"/>
    </w:rPr>
  </w:style>
  <w:style w:type="paragraph" w:customStyle="1" w:styleId="0B06C917FC2E4CCE806F93105B1C4F71">
    <w:name w:val="0B06C917FC2E4CCE806F93105B1C4F71"/>
    <w:rsid w:val="003C4C01"/>
  </w:style>
  <w:style w:type="paragraph" w:customStyle="1" w:styleId="E69C4B1275C944C897042E6224B31D5C">
    <w:name w:val="E69C4B1275C944C897042E6224B31D5C"/>
    <w:rsid w:val="00102C65"/>
    <w:pPr>
      <w:spacing w:line="278" w:lineRule="auto"/>
    </w:pPr>
    <w:rPr>
      <w:sz w:val="24"/>
      <w:szCs w:val="24"/>
    </w:rPr>
  </w:style>
  <w:style w:type="paragraph" w:customStyle="1" w:styleId="18A7A45526884ABCA23A8586A008633C">
    <w:name w:val="18A7A45526884ABCA23A8586A008633C"/>
    <w:rsid w:val="00102C65"/>
    <w:pPr>
      <w:spacing w:line="278" w:lineRule="auto"/>
    </w:pPr>
    <w:rPr>
      <w:sz w:val="24"/>
      <w:szCs w:val="24"/>
    </w:rPr>
  </w:style>
  <w:style w:type="paragraph" w:customStyle="1" w:styleId="0919C4ADAD78456CAE80E2893718DCC9">
    <w:name w:val="0919C4ADAD78456CAE80E2893718DCC9"/>
    <w:rsid w:val="00102C6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1CF7C-9273-784A-8749-1AD038BBB4C4}">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1358</Words>
  <Characters>7469</Characters>
  <Application>Microsoft Office Word</Application>
  <DocSecurity>0</DocSecurity>
  <Lines>393</Lines>
  <Paragraphs>238</Paragraphs>
  <ScaleCrop>false</ScaleCrop>
  <HeadingPairs>
    <vt:vector size="2" baseType="variant">
      <vt:variant>
        <vt:lpstr>Title</vt:lpstr>
      </vt:variant>
      <vt:variant>
        <vt:i4>1</vt:i4>
      </vt:variant>
    </vt:vector>
  </HeadingPairs>
  <TitlesOfParts>
    <vt:vector size="1" baseType="lpstr">
      <vt:lpstr>DTATSIPCA report template - A4 portrait</vt:lpstr>
    </vt:vector>
  </TitlesOfParts>
  <Manager/>
  <Company>Department of the Premier and Cabinet</Company>
  <LinksUpToDate>false</LinksUpToDate>
  <CharactersWithSpaces>8589</CharactersWithSpaces>
  <SharedDoc>false</SharedDoc>
  <HyperlinkBase/>
  <HLinks>
    <vt:vector size="24" baseType="variant">
      <vt:variant>
        <vt:i4>1572918</vt:i4>
      </vt:variant>
      <vt:variant>
        <vt:i4>20</vt:i4>
      </vt:variant>
      <vt:variant>
        <vt:i4>0</vt:i4>
      </vt:variant>
      <vt:variant>
        <vt:i4>5</vt:i4>
      </vt:variant>
      <vt:variant>
        <vt:lpwstr/>
      </vt:variant>
      <vt:variant>
        <vt:lpwstr>_Toc383761011</vt:lpwstr>
      </vt:variant>
      <vt:variant>
        <vt:i4>1572918</vt:i4>
      </vt:variant>
      <vt:variant>
        <vt:i4>14</vt:i4>
      </vt:variant>
      <vt:variant>
        <vt:i4>0</vt:i4>
      </vt:variant>
      <vt:variant>
        <vt:i4>5</vt:i4>
      </vt:variant>
      <vt:variant>
        <vt:lpwstr/>
      </vt:variant>
      <vt:variant>
        <vt:lpwstr>_Toc383761010</vt:lpwstr>
      </vt:variant>
      <vt:variant>
        <vt:i4>1638454</vt:i4>
      </vt:variant>
      <vt:variant>
        <vt:i4>8</vt:i4>
      </vt:variant>
      <vt:variant>
        <vt:i4>0</vt:i4>
      </vt:variant>
      <vt:variant>
        <vt:i4>5</vt:i4>
      </vt:variant>
      <vt:variant>
        <vt:lpwstr/>
      </vt:variant>
      <vt:variant>
        <vt:lpwstr>_Toc383761009</vt:lpwstr>
      </vt:variant>
      <vt:variant>
        <vt:i4>1638454</vt:i4>
      </vt:variant>
      <vt:variant>
        <vt:i4>2</vt:i4>
      </vt:variant>
      <vt:variant>
        <vt:i4>0</vt:i4>
      </vt:variant>
      <vt:variant>
        <vt:i4>5</vt:i4>
      </vt:variant>
      <vt:variant>
        <vt:lpwstr/>
      </vt:variant>
      <vt:variant>
        <vt:lpwstr>_Toc383761008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Multicultural Action Plan DPC 2024-25 Annual Reporting</dc:title>
  <dc:subject>&lt;insert subject&gt;</dc:subject>
  <dc:creator>Queensland Government</dc:creator>
  <cp:lastPrinted>2013-03-15T05:03:00Z</cp:lastPrinted>
  <dcterms:created xsi:type="dcterms:W3CDTF">2025-09-10T05:40:00Z</dcterms:created>
  <dcterms:modified xsi:type="dcterms:W3CDTF">2025-09-10T05:40:00Z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1210822972</vt:i4>
  </property>
</Properties>
</file>